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0CFF" w14:textId="77777777" w:rsidR="0064119A" w:rsidRPr="00AD09FA" w:rsidRDefault="0064119A">
      <w:pPr>
        <w:rPr>
          <w:lang w:val="de-DE"/>
        </w:rPr>
      </w:pPr>
      <w:bookmarkStart w:id="0" w:name="_Hlk78908018"/>
    </w:p>
    <w:p w14:paraId="79D0DECB" w14:textId="484295CE" w:rsidR="00CB0E20" w:rsidRPr="004C5C17" w:rsidRDefault="006447FF" w:rsidP="004C5C1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Savills IM </w:t>
      </w:r>
      <w:r w:rsidR="007157BB">
        <w:rPr>
          <w:rFonts w:ascii="Arial" w:hAnsi="Arial" w:cs="Arial"/>
          <w:b/>
          <w:bCs/>
          <w:sz w:val="28"/>
          <w:szCs w:val="28"/>
        </w:rPr>
        <w:t>identifies beds</w:t>
      </w:r>
      <w:r w:rsidR="00AF3867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7157BB">
        <w:rPr>
          <w:rFonts w:ascii="Arial" w:hAnsi="Arial" w:cs="Arial"/>
          <w:b/>
          <w:bCs/>
          <w:sz w:val="28"/>
          <w:szCs w:val="28"/>
        </w:rPr>
        <w:t xml:space="preserve">sheds as </w:t>
      </w:r>
      <w:r w:rsidR="00AF3867">
        <w:rPr>
          <w:rFonts w:ascii="Arial" w:hAnsi="Arial" w:cs="Arial"/>
          <w:b/>
          <w:bCs/>
          <w:sz w:val="28"/>
          <w:szCs w:val="28"/>
        </w:rPr>
        <w:t xml:space="preserve">sectors to watch </w:t>
      </w:r>
      <w:r w:rsidR="00431464">
        <w:rPr>
          <w:rFonts w:ascii="Arial" w:hAnsi="Arial" w:cs="Arial"/>
          <w:b/>
          <w:bCs/>
          <w:sz w:val="28"/>
          <w:szCs w:val="28"/>
        </w:rPr>
        <w:t xml:space="preserve">in </w:t>
      </w:r>
      <w:r w:rsidR="002C2A91">
        <w:rPr>
          <w:rFonts w:ascii="Arial" w:hAnsi="Arial" w:cs="Arial"/>
          <w:b/>
          <w:bCs/>
          <w:sz w:val="28"/>
          <w:szCs w:val="28"/>
        </w:rPr>
        <w:t xml:space="preserve">a </w:t>
      </w:r>
      <w:r w:rsidR="00431464">
        <w:rPr>
          <w:rFonts w:ascii="Arial" w:hAnsi="Arial" w:cs="Arial"/>
          <w:b/>
          <w:bCs/>
          <w:sz w:val="28"/>
          <w:szCs w:val="28"/>
        </w:rPr>
        <w:t xml:space="preserve">new green era </w:t>
      </w:r>
      <w:r w:rsidR="001B6725">
        <w:rPr>
          <w:rFonts w:ascii="Arial" w:hAnsi="Arial" w:cs="Arial"/>
          <w:b/>
          <w:bCs/>
          <w:sz w:val="28"/>
          <w:szCs w:val="28"/>
        </w:rPr>
        <w:t>for</w:t>
      </w:r>
      <w:r w:rsidR="00431464">
        <w:rPr>
          <w:rFonts w:ascii="Arial" w:hAnsi="Arial" w:cs="Arial"/>
          <w:b/>
          <w:bCs/>
          <w:sz w:val="28"/>
          <w:szCs w:val="28"/>
        </w:rPr>
        <w:t xml:space="preserve"> real estate investment in 202</w:t>
      </w:r>
      <w:r w:rsidR="002C2A91">
        <w:rPr>
          <w:rFonts w:ascii="Arial" w:hAnsi="Arial" w:cs="Arial"/>
          <w:b/>
          <w:bCs/>
          <w:sz w:val="28"/>
          <w:szCs w:val="28"/>
        </w:rPr>
        <w:t>2</w:t>
      </w:r>
    </w:p>
    <w:p w14:paraId="000C0000" w14:textId="28BF298A" w:rsidR="00F97B5F" w:rsidRDefault="00E307A7" w:rsidP="003E0D59">
      <w:pPr>
        <w:pStyle w:val="Akapitzlist"/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Latest</w:t>
      </w:r>
      <w:r w:rsidR="008D7CAB">
        <w:rPr>
          <w:rFonts w:ascii="Arial" w:hAnsi="Arial" w:cs="Arial"/>
          <w:b/>
          <w:bCs/>
        </w:rPr>
        <w:t xml:space="preserve"> Savills IM</w:t>
      </w:r>
      <w:r w:rsidR="007B6431">
        <w:rPr>
          <w:rFonts w:ascii="Arial" w:hAnsi="Arial" w:cs="Arial"/>
          <w:b/>
          <w:bCs/>
        </w:rPr>
        <w:t xml:space="preserve"> global investor </w:t>
      </w:r>
      <w:r w:rsidR="00251837">
        <w:rPr>
          <w:rFonts w:ascii="Arial" w:hAnsi="Arial" w:cs="Arial"/>
          <w:b/>
          <w:bCs/>
        </w:rPr>
        <w:t xml:space="preserve">outlook </w:t>
      </w:r>
      <w:r w:rsidR="007B6431">
        <w:rPr>
          <w:rFonts w:ascii="Arial" w:hAnsi="Arial" w:cs="Arial"/>
          <w:b/>
          <w:bCs/>
        </w:rPr>
        <w:t xml:space="preserve">survey* highlights that </w:t>
      </w:r>
      <w:r w:rsidR="008C66CA">
        <w:rPr>
          <w:rFonts w:ascii="Arial" w:hAnsi="Arial" w:cs="Arial"/>
          <w:b/>
          <w:bCs/>
        </w:rPr>
        <w:t xml:space="preserve">2022 could signal a turning point for offices and retail, although beds and sheds remain preferred sectors </w:t>
      </w:r>
    </w:p>
    <w:p w14:paraId="4EDDE074" w14:textId="0E4829A6" w:rsidR="00023C82" w:rsidRDefault="008C66CA" w:rsidP="003E0D59">
      <w:pPr>
        <w:pStyle w:val="Akapitzlist"/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Nearly three quarters of institutional investors expect real estate allocations to increase in 2022</w:t>
      </w:r>
    </w:p>
    <w:p w14:paraId="5FB5F01A" w14:textId="5721F6B1" w:rsidR="00307EFD" w:rsidRPr="00F97B5F" w:rsidRDefault="00E17975" w:rsidP="003E0D59">
      <w:pPr>
        <w:pStyle w:val="Akapitzlist"/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82% of investors surveyed believe that climate change will </w:t>
      </w:r>
      <w:r w:rsidR="00B026C7">
        <w:rPr>
          <w:rFonts w:ascii="Arial" w:hAnsi="Arial" w:cs="Arial"/>
          <w:b/>
          <w:bCs/>
        </w:rPr>
        <w:t>impact their investment strategy</w:t>
      </w:r>
    </w:p>
    <w:p w14:paraId="57BF3D0B" w14:textId="3B920DE7" w:rsidR="004458D0" w:rsidRDefault="00D413E4" w:rsidP="00657183">
      <w:pPr>
        <w:spacing w:before="100" w:beforeAutospacing="1" w:after="120" w:line="360" w:lineRule="auto"/>
        <w:jc w:val="both"/>
        <w:rPr>
          <w:rFonts w:ascii="Arial" w:hAnsi="Arial" w:cs="Arial"/>
        </w:rPr>
      </w:pPr>
      <w:r w:rsidRPr="00AD09FA">
        <w:rPr>
          <w:rFonts w:ascii="Arial" w:hAnsi="Arial" w:cs="Arial"/>
          <w:b/>
          <w:bCs/>
        </w:rPr>
        <w:t>London</w:t>
      </w:r>
      <w:r w:rsidR="005C6602" w:rsidRPr="0013545F">
        <w:rPr>
          <w:rFonts w:ascii="Arial" w:hAnsi="Arial" w:cs="Arial"/>
          <w:b/>
          <w:bCs/>
        </w:rPr>
        <w:t xml:space="preserve">, </w:t>
      </w:r>
      <w:r w:rsidR="00FE0D91" w:rsidRPr="0013545F">
        <w:rPr>
          <w:rFonts w:ascii="Arial" w:hAnsi="Arial" w:cs="Arial"/>
          <w:b/>
          <w:bCs/>
        </w:rPr>
        <w:t xml:space="preserve">25 </w:t>
      </w:r>
      <w:r w:rsidR="00775F42" w:rsidRPr="0013545F">
        <w:rPr>
          <w:rFonts w:ascii="Arial" w:hAnsi="Arial" w:cs="Arial"/>
          <w:b/>
          <w:bCs/>
        </w:rPr>
        <w:t>November</w:t>
      </w:r>
      <w:r w:rsidR="005C6602" w:rsidRPr="0013545F">
        <w:rPr>
          <w:rFonts w:ascii="Arial" w:hAnsi="Arial" w:cs="Arial"/>
          <w:b/>
          <w:bCs/>
        </w:rPr>
        <w:t xml:space="preserve"> 2021</w:t>
      </w:r>
      <w:r w:rsidR="002E4F11">
        <w:rPr>
          <w:rFonts w:ascii="Arial" w:hAnsi="Arial" w:cs="Arial"/>
          <w:b/>
          <w:bCs/>
        </w:rPr>
        <w:t>,</w:t>
      </w:r>
      <w:bookmarkStart w:id="1" w:name="_GoBack"/>
      <w:bookmarkEnd w:id="1"/>
      <w:r w:rsidR="00834CFF">
        <w:rPr>
          <w:rFonts w:ascii="Arial" w:hAnsi="Arial" w:cs="Arial"/>
          <w:b/>
          <w:bCs/>
        </w:rPr>
        <w:t xml:space="preserve"> </w:t>
      </w:r>
      <w:r w:rsidR="00775F42" w:rsidRPr="00775F42">
        <w:rPr>
          <w:rFonts w:ascii="Arial" w:hAnsi="Arial" w:cs="Arial"/>
        </w:rPr>
        <w:t>Savills Investment Management</w:t>
      </w:r>
      <w:r w:rsidR="00775F42">
        <w:rPr>
          <w:rFonts w:ascii="Arial" w:hAnsi="Arial" w:cs="Arial"/>
        </w:rPr>
        <w:t xml:space="preserve"> (Savills IM),</w:t>
      </w:r>
      <w:r w:rsidR="00775F42" w:rsidRPr="00775F42">
        <w:t xml:space="preserve"> </w:t>
      </w:r>
      <w:r w:rsidR="00775F42" w:rsidRPr="00775F42">
        <w:rPr>
          <w:rFonts w:ascii="Arial" w:hAnsi="Arial" w:cs="Arial"/>
        </w:rPr>
        <w:t>the international real estate investment manager</w:t>
      </w:r>
      <w:r w:rsidR="00775F42">
        <w:rPr>
          <w:rFonts w:ascii="Arial" w:hAnsi="Arial" w:cs="Arial"/>
        </w:rPr>
        <w:t xml:space="preserve">, </w:t>
      </w:r>
      <w:r w:rsidR="002C2A91">
        <w:rPr>
          <w:rFonts w:ascii="Arial" w:hAnsi="Arial" w:cs="Arial"/>
        </w:rPr>
        <w:t xml:space="preserve">has </w:t>
      </w:r>
      <w:r w:rsidR="00DB0EC6">
        <w:rPr>
          <w:rFonts w:ascii="Arial" w:hAnsi="Arial" w:cs="Arial"/>
        </w:rPr>
        <w:t>published its</w:t>
      </w:r>
      <w:r w:rsidR="00E85D20">
        <w:rPr>
          <w:rFonts w:ascii="Arial" w:hAnsi="Arial" w:cs="Arial"/>
        </w:rPr>
        <w:t xml:space="preserve"> latest </w:t>
      </w:r>
      <w:r w:rsidR="00DB0EC6">
        <w:rPr>
          <w:rFonts w:ascii="Arial" w:hAnsi="Arial" w:cs="Arial"/>
        </w:rPr>
        <w:t xml:space="preserve">outlook </w:t>
      </w:r>
      <w:r w:rsidR="008C66CA">
        <w:rPr>
          <w:rFonts w:ascii="Arial" w:hAnsi="Arial" w:cs="Arial"/>
        </w:rPr>
        <w:t xml:space="preserve">report </w:t>
      </w:r>
      <w:r w:rsidR="00DB0EC6">
        <w:rPr>
          <w:rFonts w:ascii="Arial" w:hAnsi="Arial" w:cs="Arial"/>
        </w:rPr>
        <w:t xml:space="preserve">for real estate investment markets </w:t>
      </w:r>
      <w:r w:rsidR="003D4153">
        <w:rPr>
          <w:rFonts w:ascii="Arial" w:hAnsi="Arial" w:cs="Arial"/>
        </w:rPr>
        <w:t xml:space="preserve">in </w:t>
      </w:r>
      <w:r w:rsidR="00DB0EC6">
        <w:rPr>
          <w:rFonts w:ascii="Arial" w:hAnsi="Arial" w:cs="Arial"/>
        </w:rPr>
        <w:t>2022</w:t>
      </w:r>
      <w:r w:rsidR="00E30AAA">
        <w:rPr>
          <w:rFonts w:ascii="Arial" w:hAnsi="Arial" w:cs="Arial"/>
        </w:rPr>
        <w:t>.</w:t>
      </w:r>
      <w:r w:rsidR="001063C7">
        <w:rPr>
          <w:rFonts w:ascii="Arial" w:hAnsi="Arial" w:cs="Arial"/>
        </w:rPr>
        <w:t xml:space="preserve"> While next year may mark a turning point for </w:t>
      </w:r>
      <w:r w:rsidR="005960FB">
        <w:rPr>
          <w:rFonts w:ascii="Arial" w:hAnsi="Arial" w:cs="Arial"/>
        </w:rPr>
        <w:t xml:space="preserve">both </w:t>
      </w:r>
      <w:r w:rsidR="00FC0618">
        <w:rPr>
          <w:rFonts w:ascii="Arial" w:hAnsi="Arial" w:cs="Arial"/>
        </w:rPr>
        <w:t xml:space="preserve">office </w:t>
      </w:r>
      <w:r w:rsidR="005960FB">
        <w:rPr>
          <w:rFonts w:ascii="Arial" w:hAnsi="Arial" w:cs="Arial"/>
        </w:rPr>
        <w:t xml:space="preserve">and retail </w:t>
      </w:r>
      <w:r w:rsidR="00FC0618">
        <w:rPr>
          <w:rFonts w:ascii="Arial" w:hAnsi="Arial" w:cs="Arial"/>
        </w:rPr>
        <w:t xml:space="preserve">investment </w:t>
      </w:r>
      <w:r w:rsidR="00B52E13">
        <w:rPr>
          <w:rFonts w:ascii="Arial" w:hAnsi="Arial" w:cs="Arial"/>
        </w:rPr>
        <w:t>as the world continues to recover from the COVID-19 pandemic</w:t>
      </w:r>
      <w:r w:rsidR="00FC0618">
        <w:rPr>
          <w:rFonts w:ascii="Arial" w:hAnsi="Arial" w:cs="Arial"/>
        </w:rPr>
        <w:t xml:space="preserve">, </w:t>
      </w:r>
      <w:r w:rsidR="0097592E">
        <w:rPr>
          <w:rFonts w:ascii="Arial" w:hAnsi="Arial" w:cs="Arial"/>
        </w:rPr>
        <w:t>sectors such as l</w:t>
      </w:r>
      <w:r w:rsidR="00655415">
        <w:rPr>
          <w:rFonts w:ascii="Arial" w:hAnsi="Arial" w:cs="Arial"/>
        </w:rPr>
        <w:t xml:space="preserve">iving, </w:t>
      </w:r>
      <w:r w:rsidR="0097592E">
        <w:rPr>
          <w:rFonts w:ascii="Arial" w:hAnsi="Arial" w:cs="Arial"/>
        </w:rPr>
        <w:t>logistics</w:t>
      </w:r>
      <w:r w:rsidR="00FC0618">
        <w:rPr>
          <w:rFonts w:ascii="Arial" w:hAnsi="Arial" w:cs="Arial"/>
        </w:rPr>
        <w:t xml:space="preserve"> </w:t>
      </w:r>
      <w:r w:rsidR="0097592E">
        <w:rPr>
          <w:rFonts w:ascii="Arial" w:hAnsi="Arial" w:cs="Arial"/>
        </w:rPr>
        <w:t xml:space="preserve">and real estate debt </w:t>
      </w:r>
      <w:r w:rsidR="00914224">
        <w:rPr>
          <w:rFonts w:ascii="Arial" w:hAnsi="Arial" w:cs="Arial"/>
        </w:rPr>
        <w:t xml:space="preserve">also </w:t>
      </w:r>
      <w:r w:rsidR="006B4766">
        <w:rPr>
          <w:rFonts w:ascii="Arial" w:hAnsi="Arial" w:cs="Arial"/>
        </w:rPr>
        <w:t xml:space="preserve">look set </w:t>
      </w:r>
      <w:r w:rsidR="0097592E">
        <w:rPr>
          <w:rFonts w:ascii="Arial" w:hAnsi="Arial" w:cs="Arial"/>
        </w:rPr>
        <w:t>offer compelling opportunities.</w:t>
      </w:r>
    </w:p>
    <w:p w14:paraId="6682C59E" w14:textId="24A4E5C8" w:rsidR="004C292F" w:rsidRDefault="003A2F94" w:rsidP="00657183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Although </w:t>
      </w:r>
      <w:r w:rsidR="0018015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number of geo-political and macroeconomic opportunities and risks lie ahead</w:t>
      </w:r>
      <w:r w:rsidR="00F27172">
        <w:rPr>
          <w:rFonts w:ascii="Arial" w:hAnsi="Arial" w:cs="Arial"/>
        </w:rPr>
        <w:t xml:space="preserve"> in 2022 - from major elections across Europe</w:t>
      </w:r>
      <w:r w:rsidR="00957C5B">
        <w:rPr>
          <w:rFonts w:ascii="Arial" w:hAnsi="Arial" w:cs="Arial"/>
        </w:rPr>
        <w:t xml:space="preserve">, </w:t>
      </w:r>
      <w:r w:rsidR="008F6333">
        <w:rPr>
          <w:rFonts w:ascii="Arial" w:hAnsi="Arial" w:cs="Arial"/>
        </w:rPr>
        <w:t>the</w:t>
      </w:r>
      <w:r w:rsidR="004F6753">
        <w:rPr>
          <w:rFonts w:ascii="Arial" w:hAnsi="Arial" w:cs="Arial"/>
        </w:rPr>
        <w:t xml:space="preserve"> </w:t>
      </w:r>
      <w:r w:rsidR="00BD453A">
        <w:rPr>
          <w:rFonts w:ascii="Arial" w:hAnsi="Arial" w:cs="Arial"/>
        </w:rPr>
        <w:t>tensions</w:t>
      </w:r>
      <w:r w:rsidR="008F6333">
        <w:rPr>
          <w:rFonts w:ascii="Arial" w:hAnsi="Arial" w:cs="Arial"/>
        </w:rPr>
        <w:t xml:space="preserve"> between the US and China,</w:t>
      </w:r>
      <w:r w:rsidR="00F27172">
        <w:rPr>
          <w:rFonts w:ascii="Arial" w:hAnsi="Arial" w:cs="Arial"/>
        </w:rPr>
        <w:t xml:space="preserve"> to </w:t>
      </w:r>
      <w:r w:rsidR="001A0D69">
        <w:rPr>
          <w:rFonts w:ascii="Arial" w:hAnsi="Arial" w:cs="Arial"/>
        </w:rPr>
        <w:t xml:space="preserve">global </w:t>
      </w:r>
      <w:r w:rsidR="00F27172">
        <w:rPr>
          <w:rFonts w:ascii="Arial" w:hAnsi="Arial" w:cs="Arial"/>
        </w:rPr>
        <w:t xml:space="preserve">supply chain disruption – </w:t>
      </w:r>
      <w:r w:rsidR="005D40CE">
        <w:rPr>
          <w:rFonts w:ascii="Arial" w:hAnsi="Arial" w:cs="Arial"/>
        </w:rPr>
        <w:t>inflation looks set to be the biggest challenge investors will have to navigate.</w:t>
      </w:r>
      <w:r w:rsidR="005A21AD">
        <w:rPr>
          <w:rFonts w:ascii="Arial" w:hAnsi="Arial" w:cs="Arial"/>
        </w:rPr>
        <w:t xml:space="preserve"> </w:t>
      </w:r>
      <w:r w:rsidR="00BA5809">
        <w:rPr>
          <w:rFonts w:ascii="Arial" w:hAnsi="Arial" w:cs="Arial"/>
        </w:rPr>
        <w:t>M</w:t>
      </w:r>
      <w:r w:rsidR="00BA5809" w:rsidRPr="008416A7">
        <w:rPr>
          <w:rFonts w:ascii="Arial" w:hAnsi="Arial" w:cs="Arial"/>
        </w:rPr>
        <w:t xml:space="preserve">ore than four fifths (82%) of </w:t>
      </w:r>
      <w:r w:rsidR="00631973">
        <w:rPr>
          <w:rFonts w:ascii="Arial" w:hAnsi="Arial" w:cs="Arial"/>
        </w:rPr>
        <w:t>survey respondents</w:t>
      </w:r>
      <w:r>
        <w:rPr>
          <w:rFonts w:ascii="Arial" w:hAnsi="Arial" w:cs="Arial"/>
        </w:rPr>
        <w:t xml:space="preserve"> </w:t>
      </w:r>
      <w:r w:rsidR="00A44372">
        <w:rPr>
          <w:rFonts w:ascii="Arial" w:hAnsi="Arial" w:cs="Arial"/>
        </w:rPr>
        <w:t>highlight</w:t>
      </w:r>
      <w:r w:rsidR="006834FD">
        <w:rPr>
          <w:rFonts w:ascii="Arial" w:hAnsi="Arial" w:cs="Arial"/>
        </w:rPr>
        <w:t xml:space="preserve">ed </w:t>
      </w:r>
      <w:r w:rsidR="00A44372">
        <w:rPr>
          <w:rFonts w:ascii="Arial" w:hAnsi="Arial" w:cs="Arial"/>
        </w:rPr>
        <w:t xml:space="preserve">inflation as </w:t>
      </w:r>
      <w:r w:rsidR="008A280E" w:rsidRPr="008416A7">
        <w:rPr>
          <w:rFonts w:ascii="Arial" w:hAnsi="Arial" w:cs="Arial"/>
        </w:rPr>
        <w:t xml:space="preserve">the greatest threat to real estate investment in 2022, ahead of an economic downturn (68%) and potential further </w:t>
      </w:r>
      <w:r w:rsidR="00A44372">
        <w:rPr>
          <w:rFonts w:ascii="Arial" w:hAnsi="Arial" w:cs="Arial"/>
        </w:rPr>
        <w:t xml:space="preserve">COVID-19 </w:t>
      </w:r>
      <w:r w:rsidR="008A280E" w:rsidRPr="008416A7">
        <w:rPr>
          <w:rFonts w:ascii="Arial" w:hAnsi="Arial" w:cs="Arial"/>
        </w:rPr>
        <w:t>restrictions (66%)</w:t>
      </w:r>
      <w:r w:rsidR="00B263F8">
        <w:rPr>
          <w:rFonts w:ascii="Arial" w:hAnsi="Arial" w:cs="Arial"/>
        </w:rPr>
        <w:t>.</w:t>
      </w:r>
    </w:p>
    <w:p w14:paraId="31382315" w14:textId="3C984CF2" w:rsidR="00B36216" w:rsidRDefault="006834FD" w:rsidP="008416A7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</w:t>
      </w:r>
      <w:r w:rsidR="00B36216">
        <w:rPr>
          <w:rFonts w:ascii="Arial" w:hAnsi="Arial" w:cs="Arial"/>
        </w:rPr>
        <w:t xml:space="preserve">pite </w:t>
      </w:r>
      <w:r w:rsidR="003F41BC">
        <w:rPr>
          <w:rFonts w:ascii="Arial" w:hAnsi="Arial" w:cs="Arial"/>
        </w:rPr>
        <w:t>a</w:t>
      </w:r>
      <w:r w:rsidR="00752DBE">
        <w:rPr>
          <w:rFonts w:ascii="Arial" w:hAnsi="Arial" w:cs="Arial"/>
        </w:rPr>
        <w:t xml:space="preserve"> challenging backdrop, </w:t>
      </w:r>
      <w:r w:rsidR="00631973">
        <w:rPr>
          <w:rFonts w:ascii="Arial" w:hAnsi="Arial" w:cs="Arial"/>
        </w:rPr>
        <w:t xml:space="preserve">the </w:t>
      </w:r>
      <w:r w:rsidR="008416A7" w:rsidRPr="008416A7">
        <w:rPr>
          <w:rFonts w:ascii="Arial" w:hAnsi="Arial" w:cs="Arial"/>
        </w:rPr>
        <w:t>global investor survey showed a significant increase in appetite for real estate in 2022</w:t>
      </w:r>
      <w:r w:rsidR="00571FE4">
        <w:rPr>
          <w:rFonts w:ascii="Arial" w:hAnsi="Arial" w:cs="Arial"/>
        </w:rPr>
        <w:t>.</w:t>
      </w:r>
      <w:r w:rsidR="008416A7" w:rsidRPr="008416A7">
        <w:rPr>
          <w:rFonts w:ascii="Arial" w:hAnsi="Arial" w:cs="Arial"/>
        </w:rPr>
        <w:t xml:space="preserve"> </w:t>
      </w:r>
      <w:r w:rsidR="00571FE4">
        <w:rPr>
          <w:rFonts w:ascii="Arial" w:hAnsi="Arial" w:cs="Arial"/>
        </w:rPr>
        <w:t>Nearly three quarters (</w:t>
      </w:r>
      <w:r w:rsidR="008416A7" w:rsidRPr="008416A7">
        <w:rPr>
          <w:rFonts w:ascii="Arial" w:hAnsi="Arial" w:cs="Arial"/>
        </w:rPr>
        <w:t>73%</w:t>
      </w:r>
      <w:r w:rsidR="00571FE4">
        <w:rPr>
          <w:rFonts w:ascii="Arial" w:hAnsi="Arial" w:cs="Arial"/>
        </w:rPr>
        <w:t>)</w:t>
      </w:r>
      <w:r w:rsidR="008416A7" w:rsidRPr="008416A7">
        <w:rPr>
          <w:rFonts w:ascii="Arial" w:hAnsi="Arial" w:cs="Arial"/>
        </w:rPr>
        <w:t xml:space="preserve"> of respondents </w:t>
      </w:r>
      <w:r w:rsidR="00571FE4">
        <w:rPr>
          <w:rFonts w:ascii="Arial" w:hAnsi="Arial" w:cs="Arial"/>
        </w:rPr>
        <w:t xml:space="preserve">expect </w:t>
      </w:r>
      <w:r w:rsidR="008416A7" w:rsidRPr="008416A7">
        <w:rPr>
          <w:rFonts w:ascii="Arial" w:hAnsi="Arial" w:cs="Arial"/>
        </w:rPr>
        <w:t xml:space="preserve">their investment in property to increase in the coming 12 months, </w:t>
      </w:r>
      <w:r w:rsidR="00495DE1">
        <w:rPr>
          <w:rFonts w:ascii="Arial" w:hAnsi="Arial" w:cs="Arial"/>
        </w:rPr>
        <w:t xml:space="preserve">compared with </w:t>
      </w:r>
      <w:r w:rsidR="006114D2">
        <w:rPr>
          <w:rFonts w:ascii="Arial" w:hAnsi="Arial" w:cs="Arial"/>
        </w:rPr>
        <w:t>45%</w:t>
      </w:r>
      <w:r w:rsidR="00A525D9">
        <w:rPr>
          <w:rFonts w:ascii="Arial" w:hAnsi="Arial" w:cs="Arial"/>
        </w:rPr>
        <w:t xml:space="preserve"> last year.</w:t>
      </w:r>
      <w:r w:rsidR="00B36216">
        <w:rPr>
          <w:rFonts w:ascii="Arial" w:hAnsi="Arial" w:cs="Arial"/>
        </w:rPr>
        <w:t xml:space="preserve"> </w:t>
      </w:r>
    </w:p>
    <w:p w14:paraId="3C5419B6" w14:textId="5B8A711B" w:rsidR="008416A7" w:rsidRPr="008416A7" w:rsidRDefault="00241FA4" w:rsidP="008416A7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One of the driving factors behind this renewed</w:t>
      </w:r>
      <w:r w:rsidR="008416A7" w:rsidRPr="008416A7">
        <w:rPr>
          <w:rFonts w:ascii="Arial" w:hAnsi="Arial" w:cs="Arial"/>
        </w:rPr>
        <w:t xml:space="preserve"> confidence is that 74% of the investors </w:t>
      </w:r>
      <w:r w:rsidR="00571FE4">
        <w:rPr>
          <w:rFonts w:ascii="Arial" w:hAnsi="Arial" w:cs="Arial"/>
        </w:rPr>
        <w:t>believe</w:t>
      </w:r>
      <w:r w:rsidR="008416A7" w:rsidRPr="008416A7">
        <w:rPr>
          <w:rFonts w:ascii="Arial" w:hAnsi="Arial" w:cs="Arial"/>
        </w:rPr>
        <w:t xml:space="preserve"> that their investments performed well in the wake of </w:t>
      </w:r>
      <w:r w:rsidR="00571FE4">
        <w:rPr>
          <w:rFonts w:ascii="Arial" w:hAnsi="Arial" w:cs="Arial"/>
        </w:rPr>
        <w:t>COVID-19</w:t>
      </w:r>
      <w:r w:rsidR="008416A7" w:rsidRPr="008416A7">
        <w:rPr>
          <w:rFonts w:ascii="Arial" w:hAnsi="Arial" w:cs="Arial"/>
        </w:rPr>
        <w:t xml:space="preserve"> compared to a </w:t>
      </w:r>
      <w:r w:rsidR="003F41BC">
        <w:rPr>
          <w:rFonts w:ascii="Arial" w:hAnsi="Arial" w:cs="Arial"/>
        </w:rPr>
        <w:t>‘</w:t>
      </w:r>
      <w:r w:rsidR="008416A7" w:rsidRPr="008416A7">
        <w:rPr>
          <w:rFonts w:ascii="Arial" w:hAnsi="Arial" w:cs="Arial"/>
        </w:rPr>
        <w:t>normal</w:t>
      </w:r>
      <w:r w:rsidR="003F41BC">
        <w:rPr>
          <w:rFonts w:ascii="Arial" w:hAnsi="Arial" w:cs="Arial"/>
        </w:rPr>
        <w:t>’</w:t>
      </w:r>
      <w:r w:rsidR="008416A7" w:rsidRPr="008416A7">
        <w:rPr>
          <w:rFonts w:ascii="Arial" w:hAnsi="Arial" w:cs="Arial"/>
        </w:rPr>
        <w:t xml:space="preserve"> year, with 72% stating that </w:t>
      </w:r>
      <w:r w:rsidR="003F41BC">
        <w:rPr>
          <w:rFonts w:ascii="Arial" w:hAnsi="Arial" w:cs="Arial"/>
        </w:rPr>
        <w:t xml:space="preserve">performance </w:t>
      </w:r>
      <w:r w:rsidR="008416A7" w:rsidRPr="008416A7">
        <w:rPr>
          <w:rFonts w:ascii="Arial" w:hAnsi="Arial" w:cs="Arial"/>
        </w:rPr>
        <w:t>was better than expected.</w:t>
      </w:r>
    </w:p>
    <w:p w14:paraId="47584A96" w14:textId="5F1074C3" w:rsidR="0043414E" w:rsidRDefault="0043414E" w:rsidP="008416A7">
      <w:pPr>
        <w:spacing w:before="100" w:beforeAutospacing="1" w:after="120" w:line="360" w:lineRule="auto"/>
        <w:jc w:val="both"/>
        <w:rPr>
          <w:rFonts w:ascii="Arial" w:hAnsi="Arial" w:cs="Arial"/>
        </w:rPr>
      </w:pPr>
      <w:r w:rsidRPr="0043414E">
        <w:rPr>
          <w:rFonts w:ascii="Arial" w:hAnsi="Arial" w:cs="Arial"/>
        </w:rPr>
        <w:t>The vast majority of participants expect investment volumes to rise again in 2022. Although it is very close at the top, “beds and sheds” lead the way by a narrow margin. However, participants also see growth potential in the retail and office sectors, indicating the hope of a slow return to some kind of normality.</w:t>
      </w:r>
    </w:p>
    <w:p w14:paraId="016B3410" w14:textId="78E82280" w:rsidR="008416A7" w:rsidRDefault="008A2850" w:rsidP="008416A7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Savills IM believe</w:t>
      </w:r>
      <w:r w:rsidR="006319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</w:t>
      </w:r>
      <w:r w:rsidR="004D3546">
        <w:rPr>
          <w:rFonts w:ascii="Arial" w:hAnsi="Arial" w:cs="Arial"/>
        </w:rPr>
        <w:t>r</w:t>
      </w:r>
      <w:r w:rsidRPr="008A2850">
        <w:rPr>
          <w:rFonts w:ascii="Arial" w:hAnsi="Arial" w:cs="Arial"/>
        </w:rPr>
        <w:t xml:space="preserve">etail is unfairly maligned and wrongly considered as a single entity. As a result, </w:t>
      </w:r>
      <w:r w:rsidR="00217697">
        <w:rPr>
          <w:rFonts w:ascii="Arial" w:hAnsi="Arial" w:cs="Arial"/>
        </w:rPr>
        <w:t xml:space="preserve">2022 could be a turning point for the sector as </w:t>
      </w:r>
      <w:r w:rsidRPr="008A2850">
        <w:rPr>
          <w:rFonts w:ascii="Arial" w:hAnsi="Arial" w:cs="Arial"/>
        </w:rPr>
        <w:t xml:space="preserve">many investors </w:t>
      </w:r>
      <w:r w:rsidR="00217697">
        <w:rPr>
          <w:rFonts w:ascii="Arial" w:hAnsi="Arial" w:cs="Arial"/>
        </w:rPr>
        <w:t xml:space="preserve">have been </w:t>
      </w:r>
      <w:r w:rsidRPr="008A2850">
        <w:rPr>
          <w:rFonts w:ascii="Arial" w:hAnsi="Arial" w:cs="Arial"/>
        </w:rPr>
        <w:t>overlook</w:t>
      </w:r>
      <w:r w:rsidR="00217697">
        <w:rPr>
          <w:rFonts w:ascii="Arial" w:hAnsi="Arial" w:cs="Arial"/>
        </w:rPr>
        <w:t>ing</w:t>
      </w:r>
      <w:r w:rsidRPr="008A2850">
        <w:rPr>
          <w:rFonts w:ascii="Arial" w:hAnsi="Arial" w:cs="Arial"/>
        </w:rPr>
        <w:t xml:space="preserve"> the opportunities in food retailing, retail parks and factory outlet malls or in repositioning assets to create alternative use value.</w:t>
      </w:r>
    </w:p>
    <w:p w14:paraId="08B8EE3B" w14:textId="7E7362C7" w:rsidR="008416A7" w:rsidRPr="008B194F" w:rsidRDefault="00A17167" w:rsidP="008416A7">
      <w:pPr>
        <w:spacing w:before="100" w:beforeAutospacing="1" w:after="120" w:line="360" w:lineRule="auto"/>
        <w:jc w:val="both"/>
        <w:rPr>
          <w:rFonts w:ascii="Arial" w:hAnsi="Arial" w:cs="Arial"/>
        </w:rPr>
      </w:pPr>
      <w:r w:rsidRPr="008B194F">
        <w:rPr>
          <w:rFonts w:ascii="Arial" w:hAnsi="Arial" w:cs="Arial"/>
        </w:rPr>
        <w:t xml:space="preserve">The report also </w:t>
      </w:r>
      <w:r w:rsidR="005D6500" w:rsidRPr="008B194F">
        <w:rPr>
          <w:rFonts w:ascii="Arial" w:hAnsi="Arial" w:cs="Arial"/>
        </w:rPr>
        <w:t xml:space="preserve">found that </w:t>
      </w:r>
      <w:r w:rsidR="000C7280" w:rsidRPr="008B194F">
        <w:rPr>
          <w:rFonts w:ascii="Arial" w:hAnsi="Arial" w:cs="Arial"/>
        </w:rPr>
        <w:t>i</w:t>
      </w:r>
      <w:r w:rsidR="008416A7" w:rsidRPr="008B194F">
        <w:rPr>
          <w:rFonts w:ascii="Arial" w:hAnsi="Arial" w:cs="Arial"/>
        </w:rPr>
        <w:t xml:space="preserve">nvestor </w:t>
      </w:r>
      <w:r w:rsidR="000C7280" w:rsidRPr="008B194F">
        <w:rPr>
          <w:rFonts w:ascii="Arial" w:hAnsi="Arial" w:cs="Arial"/>
        </w:rPr>
        <w:t>confidence is on the rise</w:t>
      </w:r>
      <w:r w:rsidR="00B83243">
        <w:rPr>
          <w:rFonts w:ascii="Arial" w:hAnsi="Arial" w:cs="Arial"/>
        </w:rPr>
        <w:t>,</w:t>
      </w:r>
      <w:r w:rsidR="008416A7" w:rsidRPr="008B194F">
        <w:rPr>
          <w:rFonts w:ascii="Arial" w:hAnsi="Arial" w:cs="Arial"/>
        </w:rPr>
        <w:t xml:space="preserve"> </w:t>
      </w:r>
      <w:r w:rsidR="008B194F">
        <w:rPr>
          <w:rFonts w:ascii="Arial" w:hAnsi="Arial" w:cs="Arial"/>
        </w:rPr>
        <w:t xml:space="preserve">and </w:t>
      </w:r>
      <w:r w:rsidR="000C7280" w:rsidRPr="008B194F">
        <w:rPr>
          <w:rFonts w:ascii="Arial" w:hAnsi="Arial" w:cs="Arial"/>
        </w:rPr>
        <w:t xml:space="preserve">they </w:t>
      </w:r>
      <w:r w:rsidR="008B194F">
        <w:rPr>
          <w:rFonts w:ascii="Arial" w:hAnsi="Arial" w:cs="Arial"/>
        </w:rPr>
        <w:t xml:space="preserve">will </w:t>
      </w:r>
      <w:r w:rsidR="008416A7" w:rsidRPr="008B194F">
        <w:rPr>
          <w:rFonts w:ascii="Arial" w:hAnsi="Arial" w:cs="Arial"/>
        </w:rPr>
        <w:t xml:space="preserve">continue </w:t>
      </w:r>
      <w:r w:rsidR="005D6500" w:rsidRPr="008B194F">
        <w:rPr>
          <w:rFonts w:ascii="Arial" w:hAnsi="Arial" w:cs="Arial"/>
        </w:rPr>
        <w:t xml:space="preserve">to </w:t>
      </w:r>
      <w:r w:rsidR="008416A7" w:rsidRPr="008B194F">
        <w:rPr>
          <w:rFonts w:ascii="Arial" w:hAnsi="Arial" w:cs="Arial"/>
        </w:rPr>
        <w:t>mov</w:t>
      </w:r>
      <w:r w:rsidR="005D6500" w:rsidRPr="008B194F">
        <w:rPr>
          <w:rFonts w:ascii="Arial" w:hAnsi="Arial" w:cs="Arial"/>
        </w:rPr>
        <w:t>e</w:t>
      </w:r>
      <w:r w:rsidR="008416A7" w:rsidRPr="008B194F">
        <w:rPr>
          <w:rFonts w:ascii="Arial" w:hAnsi="Arial" w:cs="Arial"/>
        </w:rPr>
        <w:t xml:space="preserve"> up the risk curve</w:t>
      </w:r>
      <w:r w:rsidR="008B194F">
        <w:rPr>
          <w:rFonts w:ascii="Arial" w:hAnsi="Arial" w:cs="Arial"/>
        </w:rPr>
        <w:t xml:space="preserve"> in 2022</w:t>
      </w:r>
      <w:r w:rsidR="008416A7" w:rsidRPr="008B194F">
        <w:rPr>
          <w:rFonts w:ascii="Arial" w:hAnsi="Arial" w:cs="Arial"/>
        </w:rPr>
        <w:t xml:space="preserve">. Value-add </w:t>
      </w:r>
      <w:r w:rsidR="005D6500" w:rsidRPr="008B194F">
        <w:rPr>
          <w:rFonts w:ascii="Arial" w:hAnsi="Arial" w:cs="Arial"/>
        </w:rPr>
        <w:t xml:space="preserve">strategies are expected to </w:t>
      </w:r>
      <w:r w:rsidR="00062B80" w:rsidRPr="008B194F">
        <w:rPr>
          <w:rFonts w:ascii="Arial" w:hAnsi="Arial" w:cs="Arial"/>
        </w:rPr>
        <w:t xml:space="preserve">prosper in the </w:t>
      </w:r>
      <w:r w:rsidR="00FB6DF9" w:rsidRPr="008B194F">
        <w:rPr>
          <w:rFonts w:ascii="Arial" w:hAnsi="Arial" w:cs="Arial"/>
        </w:rPr>
        <w:t xml:space="preserve">next year </w:t>
      </w:r>
      <w:r w:rsidR="008416A7" w:rsidRPr="008B194F">
        <w:rPr>
          <w:rFonts w:ascii="Arial" w:hAnsi="Arial" w:cs="Arial"/>
        </w:rPr>
        <w:t>with 63%</w:t>
      </w:r>
      <w:r w:rsidR="005D6500" w:rsidRPr="008B194F">
        <w:rPr>
          <w:rFonts w:ascii="Arial" w:hAnsi="Arial" w:cs="Arial"/>
        </w:rPr>
        <w:t xml:space="preserve"> </w:t>
      </w:r>
      <w:r w:rsidR="00062B80" w:rsidRPr="008B194F">
        <w:rPr>
          <w:rFonts w:ascii="Arial" w:hAnsi="Arial" w:cs="Arial"/>
        </w:rPr>
        <w:t>of respondents</w:t>
      </w:r>
      <w:r w:rsidR="008B194F">
        <w:rPr>
          <w:rFonts w:ascii="Arial" w:hAnsi="Arial" w:cs="Arial"/>
        </w:rPr>
        <w:t xml:space="preserve"> </w:t>
      </w:r>
      <w:r w:rsidR="00781359">
        <w:rPr>
          <w:rFonts w:ascii="Arial" w:hAnsi="Arial" w:cs="Arial"/>
        </w:rPr>
        <w:t>highlighting them as their preferred investment style.</w:t>
      </w:r>
      <w:r w:rsidR="00062B80" w:rsidRPr="008B194F">
        <w:rPr>
          <w:rFonts w:ascii="Arial" w:hAnsi="Arial" w:cs="Arial"/>
        </w:rPr>
        <w:t xml:space="preserve"> </w:t>
      </w:r>
      <w:r w:rsidR="008416A7" w:rsidRPr="008B194F">
        <w:rPr>
          <w:rFonts w:ascii="Arial" w:hAnsi="Arial" w:cs="Arial"/>
        </w:rPr>
        <w:t xml:space="preserve">Investors </w:t>
      </w:r>
      <w:r w:rsidR="00781359">
        <w:rPr>
          <w:rFonts w:ascii="Arial" w:hAnsi="Arial" w:cs="Arial"/>
        </w:rPr>
        <w:t>also highlighted</w:t>
      </w:r>
      <w:r w:rsidR="008416A7" w:rsidRPr="008B194F">
        <w:rPr>
          <w:rFonts w:ascii="Arial" w:hAnsi="Arial" w:cs="Arial"/>
        </w:rPr>
        <w:t xml:space="preserve"> co-investment (62%) and opportunistic (58%)</w:t>
      </w:r>
      <w:r w:rsidR="00781359">
        <w:rPr>
          <w:rFonts w:ascii="Arial" w:hAnsi="Arial" w:cs="Arial"/>
        </w:rPr>
        <w:t xml:space="preserve"> as attractive investment approaches for the coming year</w:t>
      </w:r>
      <w:r w:rsidR="008416A7" w:rsidRPr="008B194F">
        <w:rPr>
          <w:rFonts w:ascii="Arial" w:hAnsi="Arial" w:cs="Arial"/>
        </w:rPr>
        <w:t>.</w:t>
      </w:r>
    </w:p>
    <w:p w14:paraId="2E784167" w14:textId="39CCB0EA" w:rsidR="008416A7" w:rsidRDefault="00C91F3A" w:rsidP="008416A7">
      <w:pPr>
        <w:spacing w:before="100" w:beforeAutospacing="1" w:after="120" w:line="360" w:lineRule="auto"/>
        <w:jc w:val="both"/>
        <w:rPr>
          <w:rFonts w:ascii="Arial" w:hAnsi="Arial" w:cs="Arial"/>
        </w:rPr>
      </w:pPr>
      <w:r w:rsidRPr="007647FC">
        <w:rPr>
          <w:rFonts w:ascii="Arial" w:hAnsi="Arial" w:cs="Arial"/>
        </w:rPr>
        <w:t>Environmental, Social and Governance (ESG) themes are likely to continue to dominate</w:t>
      </w:r>
      <w:r w:rsidR="00294FB5" w:rsidRPr="007647FC">
        <w:rPr>
          <w:rFonts w:ascii="Arial" w:hAnsi="Arial" w:cs="Arial"/>
        </w:rPr>
        <w:t xml:space="preserve"> </w:t>
      </w:r>
      <w:r w:rsidRPr="007647FC">
        <w:rPr>
          <w:rFonts w:ascii="Arial" w:hAnsi="Arial" w:cs="Arial"/>
        </w:rPr>
        <w:t xml:space="preserve">the investment universe </w:t>
      </w:r>
      <w:r w:rsidR="00294FB5" w:rsidRPr="007647FC">
        <w:rPr>
          <w:rFonts w:ascii="Arial" w:hAnsi="Arial" w:cs="Arial"/>
        </w:rPr>
        <w:t xml:space="preserve">in 2022 </w:t>
      </w:r>
      <w:r w:rsidRPr="007647FC">
        <w:rPr>
          <w:rFonts w:ascii="Arial" w:hAnsi="Arial" w:cs="Arial"/>
        </w:rPr>
        <w:t xml:space="preserve">as governments and companies </w:t>
      </w:r>
      <w:r w:rsidR="001B5975" w:rsidRPr="007647FC">
        <w:rPr>
          <w:rFonts w:ascii="Arial" w:hAnsi="Arial" w:cs="Arial"/>
        </w:rPr>
        <w:t>embark on their pathways to a carbon neutral world. Over four ou</w:t>
      </w:r>
      <w:r w:rsidR="00294FB5" w:rsidRPr="007647FC">
        <w:rPr>
          <w:rFonts w:ascii="Arial" w:hAnsi="Arial" w:cs="Arial"/>
        </w:rPr>
        <w:t>t of five o</w:t>
      </w:r>
      <w:r w:rsidR="007647FC" w:rsidRPr="007647FC">
        <w:rPr>
          <w:rFonts w:ascii="Arial" w:hAnsi="Arial" w:cs="Arial"/>
        </w:rPr>
        <w:t>f respondents (82%)</w:t>
      </w:r>
      <w:r w:rsidR="00957428">
        <w:rPr>
          <w:rFonts w:ascii="Arial" w:hAnsi="Arial" w:cs="Arial"/>
        </w:rPr>
        <w:t xml:space="preserve"> to our survey</w:t>
      </w:r>
      <w:r w:rsidR="008416A7" w:rsidRPr="007647FC">
        <w:rPr>
          <w:rFonts w:ascii="Arial" w:hAnsi="Arial" w:cs="Arial"/>
        </w:rPr>
        <w:t xml:space="preserve"> believe that the current focus on climate change will have an impact on their investment strategy. </w:t>
      </w:r>
      <w:r w:rsidR="007647FC" w:rsidRPr="007647FC">
        <w:rPr>
          <w:rFonts w:ascii="Arial" w:hAnsi="Arial" w:cs="Arial"/>
        </w:rPr>
        <w:t xml:space="preserve">The vast majority of </w:t>
      </w:r>
      <w:r w:rsidR="008416A7" w:rsidRPr="007647FC">
        <w:rPr>
          <w:rFonts w:ascii="Arial" w:hAnsi="Arial" w:cs="Arial"/>
        </w:rPr>
        <w:t xml:space="preserve">surveyed investors </w:t>
      </w:r>
      <w:r w:rsidR="007647FC" w:rsidRPr="007647FC">
        <w:rPr>
          <w:rFonts w:ascii="Arial" w:hAnsi="Arial" w:cs="Arial"/>
        </w:rPr>
        <w:t xml:space="preserve">(79%) </w:t>
      </w:r>
      <w:r w:rsidR="00957428">
        <w:rPr>
          <w:rFonts w:ascii="Arial" w:hAnsi="Arial" w:cs="Arial"/>
        </w:rPr>
        <w:t xml:space="preserve">also </w:t>
      </w:r>
      <w:r w:rsidR="008416A7" w:rsidRPr="007647FC">
        <w:rPr>
          <w:rFonts w:ascii="Arial" w:hAnsi="Arial" w:cs="Arial"/>
        </w:rPr>
        <w:t xml:space="preserve">expect there to be </w:t>
      </w:r>
      <w:r w:rsidR="00957428">
        <w:rPr>
          <w:rFonts w:ascii="Arial" w:hAnsi="Arial" w:cs="Arial"/>
        </w:rPr>
        <w:t>a</w:t>
      </w:r>
      <w:r w:rsidR="007647FC" w:rsidRPr="007647FC">
        <w:rPr>
          <w:rFonts w:ascii="Arial" w:hAnsi="Arial" w:cs="Arial"/>
        </w:rPr>
        <w:t xml:space="preserve"> demonstrable</w:t>
      </w:r>
      <w:r w:rsidR="008416A7" w:rsidRPr="007647FC">
        <w:rPr>
          <w:rFonts w:ascii="Arial" w:hAnsi="Arial" w:cs="Arial"/>
        </w:rPr>
        <w:t xml:space="preserve"> increase in </w:t>
      </w:r>
      <w:r w:rsidR="007647FC" w:rsidRPr="007647FC">
        <w:rPr>
          <w:rFonts w:ascii="Arial" w:hAnsi="Arial" w:cs="Arial"/>
        </w:rPr>
        <w:t xml:space="preserve">the </w:t>
      </w:r>
      <w:r w:rsidR="008416A7" w:rsidRPr="007647FC">
        <w:rPr>
          <w:rFonts w:ascii="Arial" w:hAnsi="Arial" w:cs="Arial"/>
        </w:rPr>
        <w:t xml:space="preserve">demand for green-labelled properties over the coming 12 months, with 26% expecting a significant </w:t>
      </w:r>
      <w:r w:rsidR="007647FC" w:rsidRPr="007647FC">
        <w:rPr>
          <w:rFonts w:ascii="Arial" w:hAnsi="Arial" w:cs="Arial"/>
        </w:rPr>
        <w:t>rise</w:t>
      </w:r>
      <w:r w:rsidR="008416A7" w:rsidRPr="007647FC">
        <w:rPr>
          <w:rFonts w:ascii="Arial" w:hAnsi="Arial" w:cs="Arial"/>
        </w:rPr>
        <w:t xml:space="preserve">. </w:t>
      </w:r>
    </w:p>
    <w:p w14:paraId="7948475B" w14:textId="51A87156" w:rsidR="00D079D1" w:rsidRPr="00811251" w:rsidRDefault="00D572B9" w:rsidP="00F811FB">
      <w:pPr>
        <w:spacing w:before="100" w:beforeAutospacing="1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Kiran Patel</w:t>
      </w:r>
      <w:r w:rsidR="002F778F" w:rsidRPr="002F778F">
        <w:rPr>
          <w:rFonts w:ascii="Arial" w:hAnsi="Arial" w:cs="Arial"/>
          <w:b/>
          <w:bCs/>
        </w:rPr>
        <w:t>,</w:t>
      </w:r>
      <w:r w:rsidR="00E37613">
        <w:rPr>
          <w:rFonts w:ascii="Arial" w:hAnsi="Arial" w:cs="Arial"/>
          <w:b/>
          <w:bCs/>
        </w:rPr>
        <w:t xml:space="preserve"> Global CIO and Deputy Global CEO,</w:t>
      </w:r>
      <w:r w:rsidR="002F778F" w:rsidRPr="002F778F">
        <w:rPr>
          <w:rFonts w:ascii="Arial" w:hAnsi="Arial" w:cs="Arial"/>
          <w:b/>
          <w:bCs/>
        </w:rPr>
        <w:t xml:space="preserve"> Savills IM, commented:</w:t>
      </w:r>
      <w:r w:rsidR="000052EE" w:rsidRPr="000052EE">
        <w:rPr>
          <w:rFonts w:ascii="Arial" w:hAnsi="Arial" w:cs="Arial"/>
        </w:rPr>
        <w:t xml:space="preserve"> </w:t>
      </w:r>
    </w:p>
    <w:p w14:paraId="5C103082" w14:textId="275BF80F" w:rsidR="0047705E" w:rsidRDefault="00B40AC1" w:rsidP="004C7752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41B07">
        <w:rPr>
          <w:rFonts w:ascii="Arial" w:hAnsi="Arial" w:cs="Arial"/>
        </w:rPr>
        <w:t>Looking into next year,</w:t>
      </w:r>
      <w:r w:rsidR="00811251">
        <w:rPr>
          <w:rFonts w:ascii="Arial" w:hAnsi="Arial" w:cs="Arial"/>
        </w:rPr>
        <w:t xml:space="preserve"> w</w:t>
      </w:r>
      <w:r w:rsidR="004C7752" w:rsidRPr="004C7752">
        <w:rPr>
          <w:rFonts w:ascii="Arial" w:hAnsi="Arial" w:cs="Arial"/>
        </w:rPr>
        <w:t xml:space="preserve">e </w:t>
      </w:r>
      <w:r w:rsidR="00097CBA">
        <w:rPr>
          <w:rFonts w:ascii="Arial" w:hAnsi="Arial" w:cs="Arial"/>
        </w:rPr>
        <w:t>believe b</w:t>
      </w:r>
      <w:r w:rsidR="00097CBA" w:rsidRPr="004C7752">
        <w:rPr>
          <w:rFonts w:ascii="Arial" w:hAnsi="Arial" w:cs="Arial"/>
        </w:rPr>
        <w:t>eds and sheds</w:t>
      </w:r>
      <w:r w:rsidR="00097CBA">
        <w:rPr>
          <w:rFonts w:ascii="Arial" w:hAnsi="Arial" w:cs="Arial"/>
        </w:rPr>
        <w:t xml:space="preserve"> will continue to remain in vogue</w:t>
      </w:r>
      <w:r w:rsidR="00097CBA" w:rsidRPr="004C7752">
        <w:rPr>
          <w:rFonts w:ascii="Arial" w:hAnsi="Arial" w:cs="Arial"/>
        </w:rPr>
        <w:t>. Given low yields in industrial</w:t>
      </w:r>
      <w:r w:rsidR="00097CBA">
        <w:rPr>
          <w:rFonts w:ascii="Arial" w:hAnsi="Arial" w:cs="Arial"/>
        </w:rPr>
        <w:t xml:space="preserve"> and </w:t>
      </w:r>
      <w:r w:rsidR="00097CBA" w:rsidRPr="004C7752">
        <w:rPr>
          <w:rFonts w:ascii="Arial" w:hAnsi="Arial" w:cs="Arial"/>
        </w:rPr>
        <w:t>logistics properties, investors have no choice but to think outside big boxes and invest in promising subsectors such as urban and last-mile logistics, light industrial estates</w:t>
      </w:r>
      <w:r w:rsidR="00097CBA">
        <w:rPr>
          <w:rFonts w:ascii="Arial" w:hAnsi="Arial" w:cs="Arial"/>
        </w:rPr>
        <w:t>,</w:t>
      </w:r>
      <w:r w:rsidR="00097CBA" w:rsidRPr="004C7752">
        <w:rPr>
          <w:rFonts w:ascii="Arial" w:hAnsi="Arial" w:cs="Arial"/>
        </w:rPr>
        <w:t xml:space="preserve"> and cold storage</w:t>
      </w:r>
      <w:r w:rsidR="004C7752" w:rsidRPr="004C7752">
        <w:rPr>
          <w:rFonts w:ascii="Arial" w:hAnsi="Arial" w:cs="Arial"/>
        </w:rPr>
        <w:t xml:space="preserve">. </w:t>
      </w:r>
      <w:r w:rsidR="00E7742F">
        <w:rPr>
          <w:rFonts w:ascii="Arial" w:hAnsi="Arial" w:cs="Arial"/>
        </w:rPr>
        <w:t>We</w:t>
      </w:r>
      <w:r w:rsidR="00097CBA">
        <w:rPr>
          <w:rFonts w:ascii="Arial" w:hAnsi="Arial" w:cs="Arial"/>
        </w:rPr>
        <w:t xml:space="preserve"> </w:t>
      </w:r>
      <w:r w:rsidR="00097CBA" w:rsidRPr="004C7752">
        <w:rPr>
          <w:rFonts w:ascii="Arial" w:hAnsi="Arial" w:cs="Arial"/>
        </w:rPr>
        <w:t>expect a polarisation of the office market with a strong focus among investors on prime properties</w:t>
      </w:r>
      <w:r w:rsidR="004C7752" w:rsidRPr="004C7752">
        <w:rPr>
          <w:rFonts w:ascii="Arial" w:hAnsi="Arial" w:cs="Arial"/>
        </w:rPr>
        <w:t xml:space="preserve">. </w:t>
      </w:r>
    </w:p>
    <w:p w14:paraId="24838185" w14:textId="7E356F67" w:rsidR="00970226" w:rsidRDefault="00B175BD" w:rsidP="004C7752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C7752" w:rsidRPr="004C7752">
        <w:rPr>
          <w:rFonts w:ascii="Arial" w:hAnsi="Arial" w:cs="Arial"/>
        </w:rPr>
        <w:t xml:space="preserve">In the residential sector, scalable and operationally light segments such as multi-family, </w:t>
      </w:r>
      <w:r w:rsidR="00930349">
        <w:rPr>
          <w:rFonts w:ascii="Arial" w:hAnsi="Arial" w:cs="Arial"/>
        </w:rPr>
        <w:t>purpose</w:t>
      </w:r>
      <w:r w:rsidR="003E2088">
        <w:rPr>
          <w:rFonts w:ascii="Arial" w:hAnsi="Arial" w:cs="Arial"/>
        </w:rPr>
        <w:t>-</w:t>
      </w:r>
      <w:r w:rsidR="00930349">
        <w:rPr>
          <w:rFonts w:ascii="Arial" w:hAnsi="Arial" w:cs="Arial"/>
        </w:rPr>
        <w:t>built student accommodation (PBSA)</w:t>
      </w:r>
      <w:r w:rsidR="004C7752" w:rsidRPr="004C7752">
        <w:rPr>
          <w:rFonts w:ascii="Arial" w:hAnsi="Arial" w:cs="Arial"/>
        </w:rPr>
        <w:t xml:space="preserve"> and healthcare assets promise adequate risk-adjusted returns. </w:t>
      </w:r>
    </w:p>
    <w:p w14:paraId="227AC9F2" w14:textId="587121A9" w:rsidR="004C7752" w:rsidRPr="004C7752" w:rsidRDefault="00310475" w:rsidP="004C7752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7705E">
        <w:rPr>
          <w:rFonts w:ascii="Arial" w:hAnsi="Arial" w:cs="Arial"/>
        </w:rPr>
        <w:t>Debt</w:t>
      </w:r>
      <w:r w:rsidR="004C7752" w:rsidRPr="004C7752">
        <w:rPr>
          <w:rFonts w:ascii="Arial" w:hAnsi="Arial" w:cs="Arial"/>
        </w:rPr>
        <w:t xml:space="preserve">-investing continues to provide attractive risk-adjusted returns with downside protection. Being at the lower end of the capital stack, in today’s environment of </w:t>
      </w:r>
      <w:r w:rsidR="00A4166C">
        <w:rPr>
          <w:rFonts w:ascii="Arial" w:hAnsi="Arial" w:cs="Arial"/>
        </w:rPr>
        <w:t>g</w:t>
      </w:r>
      <w:r w:rsidR="004C7752" w:rsidRPr="004C7752">
        <w:rPr>
          <w:rFonts w:ascii="Arial" w:hAnsi="Arial" w:cs="Arial"/>
        </w:rPr>
        <w:t>lobal supply shortages, rising inflation</w:t>
      </w:r>
      <w:r w:rsidR="005400FB">
        <w:rPr>
          <w:rFonts w:ascii="Arial" w:hAnsi="Arial" w:cs="Arial"/>
        </w:rPr>
        <w:t xml:space="preserve"> and </w:t>
      </w:r>
      <w:r w:rsidR="004C7752" w:rsidRPr="004C7752">
        <w:rPr>
          <w:rFonts w:ascii="Arial" w:hAnsi="Arial" w:cs="Arial"/>
        </w:rPr>
        <w:t>growing property obsolescence due to climate adaptation,</w:t>
      </w:r>
      <w:r w:rsidR="00206E51">
        <w:rPr>
          <w:rFonts w:ascii="Arial" w:hAnsi="Arial" w:cs="Arial"/>
        </w:rPr>
        <w:t xml:space="preserve"> an allocation to</w:t>
      </w:r>
      <w:r w:rsidR="005400FB">
        <w:rPr>
          <w:rFonts w:ascii="Arial" w:hAnsi="Arial" w:cs="Arial"/>
        </w:rPr>
        <w:t xml:space="preserve"> real estate debt</w:t>
      </w:r>
      <w:r w:rsidR="004C7752" w:rsidRPr="004C7752">
        <w:rPr>
          <w:rFonts w:ascii="Arial" w:hAnsi="Arial" w:cs="Arial"/>
        </w:rPr>
        <w:t xml:space="preserve"> </w:t>
      </w:r>
      <w:r w:rsidR="00206E51">
        <w:rPr>
          <w:rFonts w:ascii="Arial" w:hAnsi="Arial" w:cs="Arial"/>
        </w:rPr>
        <w:t>could be an attractive option for long-term investors</w:t>
      </w:r>
      <w:r w:rsidR="004C7752" w:rsidRPr="004C7752">
        <w:rPr>
          <w:rFonts w:ascii="Arial" w:hAnsi="Arial" w:cs="Arial"/>
        </w:rPr>
        <w:t>.</w:t>
      </w:r>
      <w:r w:rsidR="00FA4E9E">
        <w:rPr>
          <w:rFonts w:ascii="Arial" w:hAnsi="Arial" w:cs="Arial"/>
        </w:rPr>
        <w:t>”</w:t>
      </w:r>
    </w:p>
    <w:p w14:paraId="00EA75E7" w14:textId="202DD850" w:rsidR="00E23942" w:rsidRPr="00E23942" w:rsidRDefault="00E23942" w:rsidP="00E23942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333333"/>
          <w:sz w:val="18"/>
          <w:szCs w:val="18"/>
          <w:vertAlign w:val="superscript"/>
          <w:lang w:val="en-US"/>
        </w:rPr>
        <w:t>*</w:t>
      </w:r>
      <w:r w:rsidRPr="000579F0">
        <w:rPr>
          <w:rFonts w:ascii="Arial" w:hAnsi="Arial" w:cs="Arial"/>
          <w:b/>
          <w:bCs/>
          <w:color w:val="333333"/>
          <w:sz w:val="18"/>
          <w:szCs w:val="18"/>
          <w:lang w:val="en-US"/>
        </w:rPr>
        <w:t xml:space="preserve">Source: </w:t>
      </w:r>
      <w:r w:rsidRPr="00631BDF">
        <w:rPr>
          <w:rFonts w:ascii="Arial" w:hAnsi="Arial" w:cs="Arial"/>
          <w:sz w:val="18"/>
          <w:szCs w:val="18"/>
          <w:lang w:eastAsia="en-US"/>
        </w:rPr>
        <w:t xml:space="preserve">Research conducted on behalf of Savills Investment Management by </w:t>
      </w:r>
      <w:proofErr w:type="spellStart"/>
      <w:r w:rsidR="002457B1">
        <w:rPr>
          <w:rFonts w:ascii="Arial" w:hAnsi="Arial" w:cs="Arial"/>
          <w:sz w:val="18"/>
          <w:szCs w:val="18"/>
          <w:lang w:eastAsia="en-US"/>
        </w:rPr>
        <w:t>PollRight</w:t>
      </w:r>
      <w:proofErr w:type="spellEnd"/>
      <w:r w:rsidRPr="00631BDF">
        <w:rPr>
          <w:rFonts w:ascii="Arial" w:hAnsi="Arial" w:cs="Arial"/>
          <w:sz w:val="18"/>
          <w:szCs w:val="18"/>
          <w:lang w:eastAsia="en-US"/>
        </w:rPr>
        <w:t xml:space="preserve"> among </w:t>
      </w:r>
      <w:r w:rsidR="009C382F">
        <w:rPr>
          <w:rFonts w:ascii="Arial" w:hAnsi="Arial" w:cs="Arial"/>
          <w:sz w:val="18"/>
          <w:szCs w:val="18"/>
          <w:lang w:eastAsia="en-US"/>
        </w:rPr>
        <w:t xml:space="preserve">155 </w:t>
      </w:r>
      <w:r w:rsidRPr="00631BDF">
        <w:rPr>
          <w:rFonts w:ascii="Arial" w:hAnsi="Arial" w:cs="Arial"/>
          <w:sz w:val="18"/>
          <w:szCs w:val="18"/>
          <w:lang w:eastAsia="en-US"/>
        </w:rPr>
        <w:t xml:space="preserve">institutional investors in </w:t>
      </w:r>
      <w:r w:rsidR="009C382F" w:rsidRPr="009C382F">
        <w:rPr>
          <w:rFonts w:ascii="Arial" w:hAnsi="Arial" w:cs="Arial"/>
          <w:sz w:val="18"/>
          <w:szCs w:val="18"/>
          <w:lang w:eastAsia="en-US"/>
        </w:rPr>
        <w:t>September</w:t>
      </w:r>
      <w:r w:rsidRPr="009C382F">
        <w:rPr>
          <w:rFonts w:ascii="Arial" w:hAnsi="Arial" w:cs="Arial"/>
          <w:sz w:val="18"/>
          <w:szCs w:val="18"/>
          <w:lang w:eastAsia="en-US"/>
        </w:rPr>
        <w:t xml:space="preserve"> 2021</w:t>
      </w:r>
      <w:r w:rsidRPr="00631BDF">
        <w:rPr>
          <w:rFonts w:ascii="Arial" w:hAnsi="Arial" w:cs="Arial"/>
          <w:sz w:val="18"/>
          <w:szCs w:val="18"/>
          <w:lang w:eastAsia="en-US"/>
        </w:rPr>
        <w:t xml:space="preserve">. Investors came from a global database centred around North America, </w:t>
      </w:r>
      <w:r w:rsidR="00E91BD7">
        <w:rPr>
          <w:rFonts w:ascii="Arial" w:hAnsi="Arial" w:cs="Arial"/>
          <w:sz w:val="18"/>
          <w:szCs w:val="18"/>
          <w:lang w:eastAsia="en-US"/>
        </w:rPr>
        <w:t>Europe and Asia</w:t>
      </w:r>
      <w:r w:rsidR="009C382F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332C37">
        <w:rPr>
          <w:rFonts w:ascii="Arial" w:hAnsi="Arial" w:cs="Arial"/>
          <w:sz w:val="18"/>
          <w:szCs w:val="18"/>
          <w:lang w:eastAsia="en-US"/>
        </w:rPr>
        <w:t>with an average</w:t>
      </w:r>
      <w:r>
        <w:rPr>
          <w:rFonts w:ascii="Arial" w:hAnsi="Arial" w:cs="Arial"/>
          <w:sz w:val="18"/>
          <w:szCs w:val="18"/>
          <w:lang w:eastAsia="en-US"/>
        </w:rPr>
        <w:t xml:space="preserve"> AUM of </w:t>
      </w:r>
      <w:r w:rsidR="001756F7">
        <w:rPr>
          <w:rFonts w:ascii="Arial" w:hAnsi="Arial" w:cs="Arial"/>
          <w:sz w:val="18"/>
          <w:szCs w:val="18"/>
          <w:lang w:eastAsia="en-US"/>
        </w:rPr>
        <w:t xml:space="preserve">EUR 22.5 billion </w:t>
      </w:r>
      <w:r w:rsidRPr="00631BDF">
        <w:rPr>
          <w:rFonts w:ascii="Arial" w:hAnsi="Arial" w:cs="Arial"/>
          <w:sz w:val="18"/>
          <w:szCs w:val="18"/>
          <w:lang w:eastAsia="en-US"/>
        </w:rPr>
        <w:t>in real estate investments.</w:t>
      </w:r>
    </w:p>
    <w:p w14:paraId="058F5B68" w14:textId="5DA32B41" w:rsidR="007D1019" w:rsidRDefault="00A82DEF" w:rsidP="00775F42">
      <w:pPr>
        <w:spacing w:before="100" w:beforeAutospacing="1" w:after="120" w:line="360" w:lineRule="auto"/>
        <w:jc w:val="center"/>
        <w:rPr>
          <w:rFonts w:ascii="Arial" w:eastAsia="Times New Roman" w:hAnsi="Arial" w:cs="Times New Roman"/>
          <w:b/>
        </w:rPr>
      </w:pPr>
      <w:r w:rsidRPr="00A82C0E">
        <w:rPr>
          <w:rFonts w:ascii="Arial" w:eastAsia="Times New Roman" w:hAnsi="Arial" w:cs="Times New Roman"/>
          <w:b/>
        </w:rPr>
        <w:lastRenderedPageBreak/>
        <w:t>E</w:t>
      </w:r>
      <w:r w:rsidR="00BD364C" w:rsidRPr="00A82C0E">
        <w:rPr>
          <w:rFonts w:ascii="Arial" w:eastAsia="Times New Roman" w:hAnsi="Arial" w:cs="Times New Roman"/>
          <w:b/>
        </w:rPr>
        <w:t>nd</w:t>
      </w:r>
      <w:r w:rsidR="007D1019">
        <w:rPr>
          <w:rFonts w:ascii="Arial" w:eastAsia="Times New Roman" w:hAnsi="Arial" w:cs="Times New Roman"/>
          <w:b/>
        </w:rPr>
        <w:t>s</w:t>
      </w:r>
    </w:p>
    <w:p w14:paraId="2B4CB8C4" w14:textId="77777777" w:rsidR="00413954" w:rsidRPr="00413954" w:rsidRDefault="00413954" w:rsidP="00413954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413954">
        <w:rPr>
          <w:rFonts w:ascii="Arial" w:eastAsia="Times New Roman" w:hAnsi="Arial" w:cs="Arial"/>
          <w:b/>
          <w:bCs/>
          <w:sz w:val="18"/>
          <w:szCs w:val="18"/>
        </w:rPr>
        <w:t>Press contact</w:t>
      </w:r>
    </w:p>
    <w:p w14:paraId="3958EE80" w14:textId="501B6816" w:rsidR="00413954" w:rsidRPr="00413954" w:rsidRDefault="00413954" w:rsidP="00413954">
      <w:pPr>
        <w:adjustRightInd w:val="0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41395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Alex Hogan </w:t>
      </w:r>
    </w:p>
    <w:p w14:paraId="23C2804A" w14:textId="0DCC61F4" w:rsidR="00413954" w:rsidRPr="00413954" w:rsidRDefault="00413954" w:rsidP="00413954">
      <w:pPr>
        <w:tabs>
          <w:tab w:val="left" w:pos="2730"/>
        </w:tabs>
        <w:adjustRightInd w:val="0"/>
        <w:rPr>
          <w:rFonts w:ascii="Arial" w:eastAsia="Times New Roman" w:hAnsi="Arial" w:cs="Arial"/>
          <w:bCs/>
          <w:sz w:val="18"/>
          <w:szCs w:val="18"/>
          <w:lang w:val="it-IT" w:eastAsia="en-US"/>
        </w:rPr>
      </w:pPr>
      <w:r w:rsidRPr="00413954">
        <w:rPr>
          <w:rFonts w:ascii="Arial" w:eastAsia="Times New Roman" w:hAnsi="Arial" w:cs="Arial"/>
          <w:b/>
          <w:bCs/>
          <w:sz w:val="18"/>
          <w:szCs w:val="18"/>
          <w:lang w:val="it-IT" w:eastAsia="en-US"/>
        </w:rPr>
        <w:t>Tel:</w:t>
      </w:r>
      <w:r w:rsidRPr="00413954">
        <w:rPr>
          <w:rFonts w:ascii="Arial" w:eastAsia="Times New Roman" w:hAnsi="Arial" w:cs="Arial"/>
          <w:bCs/>
          <w:sz w:val="18"/>
          <w:szCs w:val="18"/>
          <w:lang w:val="it-IT" w:eastAsia="en-US"/>
        </w:rPr>
        <w:t xml:space="preserve"> + 44 (0) 7730679996</w:t>
      </w:r>
    </w:p>
    <w:p w14:paraId="77C05DE9" w14:textId="77777777" w:rsidR="00413954" w:rsidRPr="00413954" w:rsidRDefault="00413954" w:rsidP="00413954">
      <w:pPr>
        <w:adjustRightInd w:val="0"/>
        <w:rPr>
          <w:rFonts w:ascii="Arial" w:eastAsia="Times New Roman" w:hAnsi="Arial" w:cs="Arial"/>
          <w:bCs/>
          <w:sz w:val="18"/>
          <w:szCs w:val="18"/>
          <w:lang w:val="it-IT" w:eastAsia="en-US"/>
        </w:rPr>
      </w:pPr>
      <w:r w:rsidRPr="00413954">
        <w:rPr>
          <w:rFonts w:ascii="Arial" w:eastAsia="Times New Roman" w:hAnsi="Arial" w:cs="Arial"/>
          <w:b/>
          <w:bCs/>
          <w:sz w:val="18"/>
          <w:szCs w:val="18"/>
          <w:lang w:val="it-IT" w:eastAsia="en-US"/>
        </w:rPr>
        <w:t>E:</w:t>
      </w:r>
      <w:r w:rsidRPr="00413954">
        <w:rPr>
          <w:rFonts w:ascii="Arial" w:eastAsia="Times New Roman" w:hAnsi="Arial" w:cs="Arial"/>
          <w:bCs/>
          <w:sz w:val="18"/>
          <w:szCs w:val="18"/>
          <w:lang w:val="it-IT" w:eastAsia="en-US"/>
        </w:rPr>
        <w:t xml:space="preserve"> </w:t>
      </w:r>
      <w:hyperlink r:id="rId11" w:history="1">
        <w:r w:rsidRPr="00413954">
          <w:rPr>
            <w:rStyle w:val="Hipercze"/>
            <w:rFonts w:ascii="Arial" w:eastAsia="Times New Roman" w:hAnsi="Arial" w:cs="Arial"/>
            <w:bCs/>
            <w:sz w:val="18"/>
            <w:szCs w:val="18"/>
            <w:lang w:val="it-IT" w:eastAsia="en-US"/>
          </w:rPr>
          <w:t>savillsim@citigatedewerogerson.com</w:t>
        </w:r>
      </w:hyperlink>
    </w:p>
    <w:p w14:paraId="29DFBB57" w14:textId="77777777" w:rsidR="00413954" w:rsidRPr="007D1816" w:rsidRDefault="00413954" w:rsidP="00413954">
      <w:pPr>
        <w:spacing w:line="360" w:lineRule="auto"/>
        <w:jc w:val="both"/>
        <w:rPr>
          <w:rFonts w:ascii="Arial" w:eastAsia="Times New Roman" w:hAnsi="Arial" w:cs="Times New Roman"/>
          <w:lang w:val="it-IT"/>
        </w:rPr>
      </w:pPr>
    </w:p>
    <w:bookmarkEnd w:id="0"/>
    <w:p w14:paraId="7EFA30BF" w14:textId="77777777" w:rsidR="00B754E5" w:rsidRDefault="00B754E5" w:rsidP="00B754E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About Savills Investment Management</w:t>
      </w:r>
      <w:r>
        <w:rPr>
          <w:rStyle w:val="scxw241787760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F2D1582" w14:textId="77777777" w:rsidR="00B754E5" w:rsidRPr="00F35683" w:rsidRDefault="00B754E5" w:rsidP="003E0D59">
      <w:pPr>
        <w:pStyle w:val="paragraph"/>
        <w:numPr>
          <w:ilvl w:val="0"/>
          <w:numId w:val="2"/>
        </w:numPr>
        <w:spacing w:before="0" w:beforeAutospacing="0" w:after="120" w:afterAutospacing="0"/>
        <w:ind w:left="426" w:hanging="284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376F92">
        <w:rPr>
          <w:rStyle w:val="normaltextrun"/>
          <w:rFonts w:ascii="Arial" w:hAnsi="Arial" w:cs="Arial"/>
          <w:sz w:val="18"/>
          <w:szCs w:val="18"/>
        </w:rPr>
        <w:t xml:space="preserve">Savills Investment Management is an international real estate investment manager with offices in Amsterdam, Frankfurt, Hamburg, Katowice, Kuala Lumpur (as part of a cooperation agreement with Savills Malaysia), London, Luxembourg, Madrid, Milan, Munich, Paris, Singapore, Stockholm, St. </w:t>
      </w:r>
      <w:proofErr w:type="spellStart"/>
      <w:r w:rsidRPr="00376F92">
        <w:rPr>
          <w:rStyle w:val="normaltextrun"/>
          <w:rFonts w:ascii="Arial" w:hAnsi="Arial" w:cs="Arial"/>
          <w:sz w:val="18"/>
          <w:szCs w:val="18"/>
        </w:rPr>
        <w:t>Helier</w:t>
      </w:r>
      <w:proofErr w:type="spellEnd"/>
      <w:r w:rsidRPr="00376F92">
        <w:rPr>
          <w:rStyle w:val="normaltextrun"/>
          <w:rFonts w:ascii="Arial" w:hAnsi="Arial" w:cs="Arial"/>
          <w:sz w:val="18"/>
          <w:szCs w:val="18"/>
        </w:rPr>
        <w:t>, Sydney, Tokyo and Warsaw.</w:t>
      </w:r>
      <w:r w:rsidRPr="00F35683">
        <w:rPr>
          <w:rStyle w:val="normaltextrun"/>
        </w:rPr>
        <w:t> </w:t>
      </w:r>
    </w:p>
    <w:p w14:paraId="5F9EFB75" w14:textId="128C554D" w:rsidR="00B754E5" w:rsidRPr="00F35683" w:rsidRDefault="00B754E5" w:rsidP="003E0D59">
      <w:pPr>
        <w:pStyle w:val="paragraph"/>
        <w:numPr>
          <w:ilvl w:val="0"/>
          <w:numId w:val="2"/>
        </w:numPr>
        <w:spacing w:before="0" w:beforeAutospacing="0" w:after="120" w:afterAutospacing="0"/>
        <w:ind w:left="426" w:hanging="284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376F92">
        <w:rPr>
          <w:rStyle w:val="normaltextrun"/>
          <w:rFonts w:ascii="Arial" w:hAnsi="Arial" w:cs="Arial"/>
          <w:sz w:val="18"/>
          <w:szCs w:val="18"/>
        </w:rPr>
        <w:t xml:space="preserve">As of </w:t>
      </w:r>
      <w:r w:rsidR="00E608BB">
        <w:rPr>
          <w:rStyle w:val="normaltextrun"/>
          <w:rFonts w:ascii="Arial" w:hAnsi="Arial" w:cs="Arial"/>
          <w:sz w:val="18"/>
          <w:szCs w:val="18"/>
        </w:rPr>
        <w:t>30</w:t>
      </w:r>
      <w:r w:rsidRPr="00376F92">
        <w:rPr>
          <w:rStyle w:val="normaltextrun"/>
          <w:rFonts w:ascii="Arial" w:hAnsi="Arial" w:cs="Arial"/>
          <w:sz w:val="18"/>
          <w:szCs w:val="18"/>
        </w:rPr>
        <w:t xml:space="preserve"> </w:t>
      </w:r>
      <w:r w:rsidR="00E608BB">
        <w:rPr>
          <w:rStyle w:val="normaltextrun"/>
          <w:rFonts w:ascii="Arial" w:hAnsi="Arial" w:cs="Arial"/>
          <w:sz w:val="18"/>
          <w:szCs w:val="18"/>
        </w:rPr>
        <w:t>June</w:t>
      </w:r>
      <w:r w:rsidRPr="00376F92">
        <w:rPr>
          <w:rStyle w:val="normaltextrun"/>
          <w:rFonts w:ascii="Arial" w:hAnsi="Arial" w:cs="Arial"/>
          <w:sz w:val="18"/>
          <w:szCs w:val="18"/>
        </w:rPr>
        <w:t xml:space="preserve"> 2021, Savills Investment Management managed total assets of EUR </w:t>
      </w:r>
      <w:r w:rsidR="00E608BB" w:rsidRPr="00E608BB">
        <w:rPr>
          <w:rStyle w:val="normaltextrun"/>
          <w:rFonts w:ascii="Arial" w:hAnsi="Arial" w:cs="Arial"/>
          <w:sz w:val="18"/>
          <w:szCs w:val="18"/>
        </w:rPr>
        <w:t>24.3</w:t>
      </w:r>
      <w:r w:rsidR="00E608BB">
        <w:rPr>
          <w:rStyle w:val="normaltextrun"/>
          <w:rFonts w:ascii="Arial" w:hAnsi="Arial" w:cs="Arial"/>
          <w:sz w:val="18"/>
          <w:szCs w:val="18"/>
        </w:rPr>
        <w:t xml:space="preserve"> billion</w:t>
      </w:r>
      <w:r w:rsidRPr="00376F92">
        <w:rPr>
          <w:rStyle w:val="normaltextrun"/>
          <w:rFonts w:ascii="Arial" w:hAnsi="Arial" w:cs="Arial"/>
          <w:sz w:val="18"/>
          <w:szCs w:val="18"/>
        </w:rPr>
        <w:t>.</w:t>
      </w:r>
      <w:r w:rsidRPr="00F943EB">
        <w:rPr>
          <w:rStyle w:val="normaltextrun"/>
          <w:rFonts w:ascii="Arial" w:hAnsi="Arial" w:cs="Arial"/>
          <w:sz w:val="18"/>
          <w:szCs w:val="18"/>
        </w:rPr>
        <w:t> </w:t>
      </w:r>
    </w:p>
    <w:p w14:paraId="7121B289" w14:textId="7B940693" w:rsidR="00B754E5" w:rsidRPr="00F35683" w:rsidRDefault="00B754E5" w:rsidP="003E0D59">
      <w:pPr>
        <w:pStyle w:val="paragraph"/>
        <w:numPr>
          <w:ilvl w:val="0"/>
          <w:numId w:val="2"/>
        </w:numPr>
        <w:spacing w:before="0" w:beforeAutospacing="0" w:after="120" w:afterAutospacing="0"/>
        <w:ind w:left="426" w:hanging="284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376F92">
        <w:rPr>
          <w:rStyle w:val="normaltextrun"/>
          <w:rFonts w:ascii="Arial" w:hAnsi="Arial" w:cs="Arial"/>
          <w:sz w:val="18"/>
          <w:szCs w:val="18"/>
        </w:rPr>
        <w:t>Savills Investment Management is the brand name used to represent Savills Investment Management LLP</w:t>
      </w:r>
      <w:r w:rsidR="00F943EB">
        <w:rPr>
          <w:rStyle w:val="normaltextrun"/>
          <w:rFonts w:ascii="Arial" w:hAnsi="Arial" w:cs="Arial"/>
          <w:sz w:val="18"/>
          <w:szCs w:val="18"/>
        </w:rPr>
        <w:t xml:space="preserve"> </w:t>
      </w:r>
      <w:r w:rsidRPr="00376F92">
        <w:rPr>
          <w:rStyle w:val="normaltextrun"/>
          <w:rFonts w:ascii="Arial" w:hAnsi="Arial" w:cs="Arial"/>
          <w:sz w:val="18"/>
          <w:szCs w:val="18"/>
        </w:rPr>
        <w:t>and its subsidiaries.</w:t>
      </w:r>
      <w:r w:rsidRPr="00F943EB">
        <w:rPr>
          <w:rStyle w:val="normaltextrun"/>
          <w:rFonts w:ascii="Arial" w:hAnsi="Arial" w:cs="Arial"/>
          <w:sz w:val="18"/>
          <w:szCs w:val="18"/>
        </w:rPr>
        <w:t> </w:t>
      </w:r>
    </w:p>
    <w:p w14:paraId="34CB155A" w14:textId="68472B59" w:rsidR="00B754E5" w:rsidRPr="009A3DFC" w:rsidRDefault="00B754E5" w:rsidP="003E0D59">
      <w:pPr>
        <w:pStyle w:val="paragraph"/>
        <w:numPr>
          <w:ilvl w:val="0"/>
          <w:numId w:val="2"/>
        </w:numPr>
        <w:spacing w:before="0" w:beforeAutospacing="0" w:after="120" w:afterAutospacing="0"/>
        <w:ind w:left="426" w:hanging="284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376F92">
        <w:rPr>
          <w:rStyle w:val="normaltextrun"/>
          <w:rFonts w:ascii="Arial" w:hAnsi="Arial" w:cs="Arial"/>
          <w:sz w:val="18"/>
          <w:szCs w:val="18"/>
        </w:rPr>
        <w:t>Savills Investment Management LLP is a limited liability partnership registered in England No: OC306423</w:t>
      </w:r>
      <w:r w:rsidR="00F35683"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 w:rsidRPr="00376F92">
        <w:rPr>
          <w:rStyle w:val="normaltextrun"/>
          <w:rFonts w:ascii="Arial" w:hAnsi="Arial" w:cs="Arial"/>
          <w:sz w:val="18"/>
          <w:szCs w:val="18"/>
        </w:rPr>
        <w:t>authorised</w:t>
      </w:r>
      <w:proofErr w:type="spellEnd"/>
      <w:r w:rsidRPr="00376F92">
        <w:rPr>
          <w:rStyle w:val="normaltextrun"/>
          <w:rFonts w:ascii="Arial" w:hAnsi="Arial" w:cs="Arial"/>
          <w:sz w:val="18"/>
          <w:szCs w:val="18"/>
        </w:rPr>
        <w:t xml:space="preserve"> and regulated by the Financial Conduct Authority.  </w:t>
      </w:r>
      <w:r w:rsidRPr="00F35683">
        <w:rPr>
          <w:rStyle w:val="normaltextrun"/>
          <w:rFonts w:ascii="Arial" w:hAnsi="Arial" w:cs="Arial"/>
          <w:sz w:val="18"/>
          <w:szCs w:val="18"/>
        </w:rPr>
        <w:t> </w:t>
      </w:r>
    </w:p>
    <w:p w14:paraId="41C4D073" w14:textId="4E976291" w:rsidR="00FB11C3" w:rsidRPr="00F35683" w:rsidRDefault="00B754E5" w:rsidP="003E0D59">
      <w:pPr>
        <w:pStyle w:val="paragraph"/>
        <w:numPr>
          <w:ilvl w:val="0"/>
          <w:numId w:val="2"/>
        </w:numPr>
        <w:spacing w:before="0" w:beforeAutospacing="0" w:after="120" w:afterAutospacing="0"/>
        <w:ind w:left="426" w:hanging="284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9A3DFC">
        <w:rPr>
          <w:rStyle w:val="normaltextrun"/>
          <w:rFonts w:ascii="Arial" w:hAnsi="Arial" w:cs="Arial"/>
          <w:sz w:val="18"/>
          <w:szCs w:val="18"/>
        </w:rPr>
        <w:t>Savills Investment Management is regulated in the UK, Australia, Italy, Germany, Jersey, Japan, Luxembourg and Singapore.</w:t>
      </w:r>
      <w:r w:rsidRPr="00F35683">
        <w:rPr>
          <w:rStyle w:val="normaltextrun"/>
          <w:rFonts w:ascii="Arial" w:hAnsi="Arial" w:cs="Arial"/>
          <w:sz w:val="18"/>
          <w:szCs w:val="18"/>
        </w:rPr>
        <w:t> </w:t>
      </w:r>
    </w:p>
    <w:sectPr w:rsidR="00FB11C3" w:rsidRPr="00F35683" w:rsidSect="009A3DFC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72F6" w14:textId="77777777" w:rsidR="0054508E" w:rsidRDefault="0054508E" w:rsidP="00BD364C">
      <w:r>
        <w:separator/>
      </w:r>
    </w:p>
  </w:endnote>
  <w:endnote w:type="continuationSeparator" w:id="0">
    <w:p w14:paraId="1428BEE5" w14:textId="77777777" w:rsidR="0054508E" w:rsidRDefault="0054508E" w:rsidP="00BD364C">
      <w:r>
        <w:continuationSeparator/>
      </w:r>
    </w:p>
  </w:endnote>
  <w:endnote w:type="continuationNotice" w:id="1">
    <w:p w14:paraId="20D3CB42" w14:textId="77777777" w:rsidR="0054508E" w:rsidRDefault="00545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67CAA" w14:textId="77777777" w:rsidR="0054508E" w:rsidRDefault="0054508E" w:rsidP="00BD364C">
      <w:r>
        <w:separator/>
      </w:r>
    </w:p>
  </w:footnote>
  <w:footnote w:type="continuationSeparator" w:id="0">
    <w:p w14:paraId="55D66245" w14:textId="77777777" w:rsidR="0054508E" w:rsidRDefault="0054508E" w:rsidP="00BD364C">
      <w:r>
        <w:continuationSeparator/>
      </w:r>
    </w:p>
  </w:footnote>
  <w:footnote w:type="continuationNotice" w:id="1">
    <w:p w14:paraId="2E578D38" w14:textId="77777777" w:rsidR="0054508E" w:rsidRDefault="00545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036F" w14:textId="11C3A20D" w:rsidR="006211CF" w:rsidRDefault="006211CF">
    <w:pPr>
      <w:pStyle w:val="Nagwek"/>
    </w:pPr>
    <w:r>
      <w:t xml:space="preserve"> </w:t>
    </w:r>
    <w:r>
      <w:tab/>
    </w:r>
    <w:r>
      <w:tab/>
    </w:r>
    <w:r w:rsidRPr="00BD364C">
      <w:rPr>
        <w:rFonts w:ascii="Arial" w:hAnsi="Arial" w:cs="Arial"/>
        <w:b/>
      </w:rPr>
      <w:t>PRESS RELEASE</w:t>
    </w:r>
  </w:p>
  <w:p w14:paraId="775B653B" w14:textId="77777777" w:rsidR="006211CF" w:rsidRDefault="00621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7D61" w14:textId="192C8B24" w:rsidR="009A3DFC" w:rsidRDefault="009A3DFC">
    <w:pPr>
      <w:pStyle w:val="Nagwek"/>
    </w:pPr>
    <w:r>
      <w:rPr>
        <w:noProof/>
        <w:lang w:val="en-US" w:eastAsia="en-US"/>
      </w:rPr>
      <w:drawing>
        <wp:inline distT="0" distB="0" distL="0" distR="0" wp14:anchorId="5CE2A351" wp14:editId="7DA03FF3">
          <wp:extent cx="1823085" cy="597535"/>
          <wp:effectExtent l="0" t="0" r="5715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74966"/>
    <w:multiLevelType w:val="hybridMultilevel"/>
    <w:tmpl w:val="0B52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4D8"/>
    <w:multiLevelType w:val="hybridMultilevel"/>
    <w:tmpl w:val="6982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DAE"/>
    <w:multiLevelType w:val="hybridMultilevel"/>
    <w:tmpl w:val="8F30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1148"/>
    <w:multiLevelType w:val="hybridMultilevel"/>
    <w:tmpl w:val="51C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5851"/>
    <w:multiLevelType w:val="hybridMultilevel"/>
    <w:tmpl w:val="A8C2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2C41"/>
    <w:multiLevelType w:val="hybridMultilevel"/>
    <w:tmpl w:val="FA38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60FB"/>
    <w:multiLevelType w:val="hybridMultilevel"/>
    <w:tmpl w:val="A05A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B5513"/>
    <w:multiLevelType w:val="hybridMultilevel"/>
    <w:tmpl w:val="E4DEA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C77E00"/>
    <w:multiLevelType w:val="hybridMultilevel"/>
    <w:tmpl w:val="117A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11524"/>
    <w:multiLevelType w:val="hybridMultilevel"/>
    <w:tmpl w:val="6DCE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4C"/>
    <w:rsid w:val="00000632"/>
    <w:rsid w:val="00001F8B"/>
    <w:rsid w:val="0000439C"/>
    <w:rsid w:val="000049CB"/>
    <w:rsid w:val="000052EE"/>
    <w:rsid w:val="0000756F"/>
    <w:rsid w:val="000113F4"/>
    <w:rsid w:val="00012264"/>
    <w:rsid w:val="00012485"/>
    <w:rsid w:val="00013410"/>
    <w:rsid w:val="00013A0E"/>
    <w:rsid w:val="000159D9"/>
    <w:rsid w:val="0001697A"/>
    <w:rsid w:val="00021A49"/>
    <w:rsid w:val="00021EFA"/>
    <w:rsid w:val="00023C82"/>
    <w:rsid w:val="00026375"/>
    <w:rsid w:val="000320EB"/>
    <w:rsid w:val="000341B8"/>
    <w:rsid w:val="00034A53"/>
    <w:rsid w:val="00035883"/>
    <w:rsid w:val="000359D3"/>
    <w:rsid w:val="00036AD7"/>
    <w:rsid w:val="000412BC"/>
    <w:rsid w:val="000439D6"/>
    <w:rsid w:val="00043EDD"/>
    <w:rsid w:val="00045D3D"/>
    <w:rsid w:val="00046510"/>
    <w:rsid w:val="000470F8"/>
    <w:rsid w:val="00047DC0"/>
    <w:rsid w:val="000579F0"/>
    <w:rsid w:val="00060321"/>
    <w:rsid w:val="00061DB5"/>
    <w:rsid w:val="00062B80"/>
    <w:rsid w:val="0006390E"/>
    <w:rsid w:val="00065FF2"/>
    <w:rsid w:val="00070190"/>
    <w:rsid w:val="000714A1"/>
    <w:rsid w:val="000728D4"/>
    <w:rsid w:val="00076394"/>
    <w:rsid w:val="00077450"/>
    <w:rsid w:val="00077E6A"/>
    <w:rsid w:val="00092C20"/>
    <w:rsid w:val="00097CBA"/>
    <w:rsid w:val="000A1A30"/>
    <w:rsid w:val="000A61CD"/>
    <w:rsid w:val="000B1FA4"/>
    <w:rsid w:val="000B678D"/>
    <w:rsid w:val="000C2D16"/>
    <w:rsid w:val="000C42ED"/>
    <w:rsid w:val="000C4F51"/>
    <w:rsid w:val="000C62CF"/>
    <w:rsid w:val="000C7280"/>
    <w:rsid w:val="000C7B9E"/>
    <w:rsid w:val="000D0FBD"/>
    <w:rsid w:val="000D3FC2"/>
    <w:rsid w:val="000D561B"/>
    <w:rsid w:val="000E437D"/>
    <w:rsid w:val="001004BC"/>
    <w:rsid w:val="001048AE"/>
    <w:rsid w:val="001063C7"/>
    <w:rsid w:val="00110479"/>
    <w:rsid w:val="001150AB"/>
    <w:rsid w:val="00116407"/>
    <w:rsid w:val="001231C2"/>
    <w:rsid w:val="00125971"/>
    <w:rsid w:val="001353A4"/>
    <w:rsid w:val="0013545F"/>
    <w:rsid w:val="00135D4A"/>
    <w:rsid w:val="0014125F"/>
    <w:rsid w:val="001417DC"/>
    <w:rsid w:val="00145D5A"/>
    <w:rsid w:val="00146064"/>
    <w:rsid w:val="001463D2"/>
    <w:rsid w:val="00151434"/>
    <w:rsid w:val="00152852"/>
    <w:rsid w:val="00153DDE"/>
    <w:rsid w:val="00157E60"/>
    <w:rsid w:val="00160E06"/>
    <w:rsid w:val="001621A8"/>
    <w:rsid w:val="001756F7"/>
    <w:rsid w:val="0017575D"/>
    <w:rsid w:val="00180156"/>
    <w:rsid w:val="0018044D"/>
    <w:rsid w:val="001804F3"/>
    <w:rsid w:val="001831C9"/>
    <w:rsid w:val="00185364"/>
    <w:rsid w:val="00185730"/>
    <w:rsid w:val="00190BBC"/>
    <w:rsid w:val="00196090"/>
    <w:rsid w:val="001A0D69"/>
    <w:rsid w:val="001A533D"/>
    <w:rsid w:val="001A67BB"/>
    <w:rsid w:val="001B1E94"/>
    <w:rsid w:val="001B2034"/>
    <w:rsid w:val="001B2C6E"/>
    <w:rsid w:val="001B5975"/>
    <w:rsid w:val="001B6725"/>
    <w:rsid w:val="001B6C56"/>
    <w:rsid w:val="001C08A8"/>
    <w:rsid w:val="001C1E70"/>
    <w:rsid w:val="001C39F3"/>
    <w:rsid w:val="001C757C"/>
    <w:rsid w:val="001D0BC5"/>
    <w:rsid w:val="001D17D6"/>
    <w:rsid w:val="001D21D1"/>
    <w:rsid w:val="001D34C8"/>
    <w:rsid w:val="001E0BF6"/>
    <w:rsid w:val="001E118F"/>
    <w:rsid w:val="001E71DD"/>
    <w:rsid w:val="001F2CC4"/>
    <w:rsid w:val="001F3188"/>
    <w:rsid w:val="001F3382"/>
    <w:rsid w:val="001F395D"/>
    <w:rsid w:val="001F48F2"/>
    <w:rsid w:val="00206E51"/>
    <w:rsid w:val="00206F98"/>
    <w:rsid w:val="00212D9A"/>
    <w:rsid w:val="00213AA1"/>
    <w:rsid w:val="0021464B"/>
    <w:rsid w:val="00215938"/>
    <w:rsid w:val="0021733A"/>
    <w:rsid w:val="00217697"/>
    <w:rsid w:val="002178EE"/>
    <w:rsid w:val="002219C2"/>
    <w:rsid w:val="00221D1E"/>
    <w:rsid w:val="00223913"/>
    <w:rsid w:val="0022432A"/>
    <w:rsid w:val="002261ED"/>
    <w:rsid w:val="0022652C"/>
    <w:rsid w:val="00230950"/>
    <w:rsid w:val="00231134"/>
    <w:rsid w:val="00233BAB"/>
    <w:rsid w:val="002366B8"/>
    <w:rsid w:val="00237EA5"/>
    <w:rsid w:val="00237EE2"/>
    <w:rsid w:val="00240360"/>
    <w:rsid w:val="00241589"/>
    <w:rsid w:val="00241FA4"/>
    <w:rsid w:val="00241FF8"/>
    <w:rsid w:val="002457B1"/>
    <w:rsid w:val="002462B5"/>
    <w:rsid w:val="002505BC"/>
    <w:rsid w:val="00251837"/>
    <w:rsid w:val="002520E7"/>
    <w:rsid w:val="00253633"/>
    <w:rsid w:val="00255240"/>
    <w:rsid w:val="002565A4"/>
    <w:rsid w:val="00261874"/>
    <w:rsid w:val="00266177"/>
    <w:rsid w:val="00273BFA"/>
    <w:rsid w:val="00274ADB"/>
    <w:rsid w:val="00274B4A"/>
    <w:rsid w:val="0027588E"/>
    <w:rsid w:val="00277ED6"/>
    <w:rsid w:val="002806A0"/>
    <w:rsid w:val="0028255F"/>
    <w:rsid w:val="002834FA"/>
    <w:rsid w:val="002837BA"/>
    <w:rsid w:val="0028470C"/>
    <w:rsid w:val="00285509"/>
    <w:rsid w:val="002857F0"/>
    <w:rsid w:val="002867E1"/>
    <w:rsid w:val="002907E2"/>
    <w:rsid w:val="00291C6E"/>
    <w:rsid w:val="00292144"/>
    <w:rsid w:val="00293192"/>
    <w:rsid w:val="00293F1B"/>
    <w:rsid w:val="00294FB5"/>
    <w:rsid w:val="002A0F89"/>
    <w:rsid w:val="002A590F"/>
    <w:rsid w:val="002A6441"/>
    <w:rsid w:val="002A677A"/>
    <w:rsid w:val="002A797A"/>
    <w:rsid w:val="002B3676"/>
    <w:rsid w:val="002B4028"/>
    <w:rsid w:val="002B51E7"/>
    <w:rsid w:val="002B73A8"/>
    <w:rsid w:val="002B7E8D"/>
    <w:rsid w:val="002C1B7C"/>
    <w:rsid w:val="002C2A91"/>
    <w:rsid w:val="002C7FB9"/>
    <w:rsid w:val="002D5EED"/>
    <w:rsid w:val="002E1670"/>
    <w:rsid w:val="002E3440"/>
    <w:rsid w:val="002E47DF"/>
    <w:rsid w:val="002E4F11"/>
    <w:rsid w:val="002E50C0"/>
    <w:rsid w:val="002E7D0F"/>
    <w:rsid w:val="002F0B5E"/>
    <w:rsid w:val="002F15D8"/>
    <w:rsid w:val="002F37D0"/>
    <w:rsid w:val="002F778F"/>
    <w:rsid w:val="003009D7"/>
    <w:rsid w:val="00300B3C"/>
    <w:rsid w:val="003016B4"/>
    <w:rsid w:val="00302775"/>
    <w:rsid w:val="00304067"/>
    <w:rsid w:val="00305F75"/>
    <w:rsid w:val="0030629E"/>
    <w:rsid w:val="00307EFD"/>
    <w:rsid w:val="00310475"/>
    <w:rsid w:val="003152D1"/>
    <w:rsid w:val="00315817"/>
    <w:rsid w:val="00317B68"/>
    <w:rsid w:val="0032080A"/>
    <w:rsid w:val="00321D3F"/>
    <w:rsid w:val="00323D8D"/>
    <w:rsid w:val="00326B46"/>
    <w:rsid w:val="00326D8C"/>
    <w:rsid w:val="00332C37"/>
    <w:rsid w:val="00336F88"/>
    <w:rsid w:val="00341902"/>
    <w:rsid w:val="003467A5"/>
    <w:rsid w:val="00346CC8"/>
    <w:rsid w:val="00356CEE"/>
    <w:rsid w:val="00356E53"/>
    <w:rsid w:val="00366B24"/>
    <w:rsid w:val="00370082"/>
    <w:rsid w:val="00372907"/>
    <w:rsid w:val="00373D1B"/>
    <w:rsid w:val="00374CE5"/>
    <w:rsid w:val="00375FAC"/>
    <w:rsid w:val="00376E40"/>
    <w:rsid w:val="00376F92"/>
    <w:rsid w:val="003841FD"/>
    <w:rsid w:val="003843DC"/>
    <w:rsid w:val="003850EC"/>
    <w:rsid w:val="00386B4D"/>
    <w:rsid w:val="0038794E"/>
    <w:rsid w:val="0039103B"/>
    <w:rsid w:val="0039191E"/>
    <w:rsid w:val="00392609"/>
    <w:rsid w:val="00392E69"/>
    <w:rsid w:val="00393A51"/>
    <w:rsid w:val="00394B7A"/>
    <w:rsid w:val="0039587C"/>
    <w:rsid w:val="003A2F94"/>
    <w:rsid w:val="003A5792"/>
    <w:rsid w:val="003A5A8A"/>
    <w:rsid w:val="003C43DE"/>
    <w:rsid w:val="003C625E"/>
    <w:rsid w:val="003C68C4"/>
    <w:rsid w:val="003C6E70"/>
    <w:rsid w:val="003D33E7"/>
    <w:rsid w:val="003D4153"/>
    <w:rsid w:val="003D54E7"/>
    <w:rsid w:val="003D5A32"/>
    <w:rsid w:val="003D5B84"/>
    <w:rsid w:val="003D5E9E"/>
    <w:rsid w:val="003E0D59"/>
    <w:rsid w:val="003E2088"/>
    <w:rsid w:val="003E2953"/>
    <w:rsid w:val="003E3288"/>
    <w:rsid w:val="003E60C9"/>
    <w:rsid w:val="003F210F"/>
    <w:rsid w:val="003F28C7"/>
    <w:rsid w:val="003F41BC"/>
    <w:rsid w:val="00402371"/>
    <w:rsid w:val="00403462"/>
    <w:rsid w:val="004036C3"/>
    <w:rsid w:val="004067C6"/>
    <w:rsid w:val="004067E9"/>
    <w:rsid w:val="0041120C"/>
    <w:rsid w:val="00413398"/>
    <w:rsid w:val="00413779"/>
    <w:rsid w:val="00413954"/>
    <w:rsid w:val="0041554C"/>
    <w:rsid w:val="00415C10"/>
    <w:rsid w:val="00415E86"/>
    <w:rsid w:val="00416DD3"/>
    <w:rsid w:val="004172DF"/>
    <w:rsid w:val="004208A5"/>
    <w:rsid w:val="00424082"/>
    <w:rsid w:val="00426654"/>
    <w:rsid w:val="00431464"/>
    <w:rsid w:val="00432BB1"/>
    <w:rsid w:val="0043414E"/>
    <w:rsid w:val="00434843"/>
    <w:rsid w:val="004356B5"/>
    <w:rsid w:val="00442ACC"/>
    <w:rsid w:val="00443CD7"/>
    <w:rsid w:val="00444B47"/>
    <w:rsid w:val="004458D0"/>
    <w:rsid w:val="004478B4"/>
    <w:rsid w:val="00451DE4"/>
    <w:rsid w:val="00462D54"/>
    <w:rsid w:val="004636F3"/>
    <w:rsid w:val="00464712"/>
    <w:rsid w:val="00465897"/>
    <w:rsid w:val="004721AD"/>
    <w:rsid w:val="0047705E"/>
    <w:rsid w:val="00477F67"/>
    <w:rsid w:val="00480807"/>
    <w:rsid w:val="004836FB"/>
    <w:rsid w:val="00483F9D"/>
    <w:rsid w:val="00484CCB"/>
    <w:rsid w:val="00486A98"/>
    <w:rsid w:val="00486E40"/>
    <w:rsid w:val="00490622"/>
    <w:rsid w:val="00494D33"/>
    <w:rsid w:val="00495DB3"/>
    <w:rsid w:val="00495DE1"/>
    <w:rsid w:val="004962E5"/>
    <w:rsid w:val="0049655D"/>
    <w:rsid w:val="00496DA2"/>
    <w:rsid w:val="004A1D45"/>
    <w:rsid w:val="004A3725"/>
    <w:rsid w:val="004A3AC4"/>
    <w:rsid w:val="004A4A13"/>
    <w:rsid w:val="004A4C0F"/>
    <w:rsid w:val="004A5778"/>
    <w:rsid w:val="004A7953"/>
    <w:rsid w:val="004B1784"/>
    <w:rsid w:val="004B1A8E"/>
    <w:rsid w:val="004C292F"/>
    <w:rsid w:val="004C3C39"/>
    <w:rsid w:val="004C412A"/>
    <w:rsid w:val="004C517A"/>
    <w:rsid w:val="004C5C17"/>
    <w:rsid w:val="004C5F5F"/>
    <w:rsid w:val="004C7752"/>
    <w:rsid w:val="004C796F"/>
    <w:rsid w:val="004D0753"/>
    <w:rsid w:val="004D0D2E"/>
    <w:rsid w:val="004D2A9E"/>
    <w:rsid w:val="004D32B4"/>
    <w:rsid w:val="004D3546"/>
    <w:rsid w:val="004D36F1"/>
    <w:rsid w:val="004E20A3"/>
    <w:rsid w:val="004E2724"/>
    <w:rsid w:val="004E4922"/>
    <w:rsid w:val="004E59B6"/>
    <w:rsid w:val="004E743D"/>
    <w:rsid w:val="004F0A2B"/>
    <w:rsid w:val="004F6401"/>
    <w:rsid w:val="004F6753"/>
    <w:rsid w:val="00500392"/>
    <w:rsid w:val="0050069C"/>
    <w:rsid w:val="005006E7"/>
    <w:rsid w:val="005044A7"/>
    <w:rsid w:val="005045FF"/>
    <w:rsid w:val="00506A5E"/>
    <w:rsid w:val="00506B95"/>
    <w:rsid w:val="00511491"/>
    <w:rsid w:val="00520DC1"/>
    <w:rsid w:val="00522B52"/>
    <w:rsid w:val="00531B58"/>
    <w:rsid w:val="00532CC7"/>
    <w:rsid w:val="00534B3D"/>
    <w:rsid w:val="005400FB"/>
    <w:rsid w:val="00540563"/>
    <w:rsid w:val="00540613"/>
    <w:rsid w:val="00541154"/>
    <w:rsid w:val="0054143F"/>
    <w:rsid w:val="00541899"/>
    <w:rsid w:val="00541994"/>
    <w:rsid w:val="00543A84"/>
    <w:rsid w:val="0054508E"/>
    <w:rsid w:val="00547B3E"/>
    <w:rsid w:val="005508E4"/>
    <w:rsid w:val="00555281"/>
    <w:rsid w:val="0055562C"/>
    <w:rsid w:val="00555FBF"/>
    <w:rsid w:val="005603AE"/>
    <w:rsid w:val="00560CB1"/>
    <w:rsid w:val="00563A40"/>
    <w:rsid w:val="00567E3B"/>
    <w:rsid w:val="0057070A"/>
    <w:rsid w:val="00571FE4"/>
    <w:rsid w:val="005722B2"/>
    <w:rsid w:val="00572F7D"/>
    <w:rsid w:val="00575302"/>
    <w:rsid w:val="005770FE"/>
    <w:rsid w:val="00583450"/>
    <w:rsid w:val="00583F83"/>
    <w:rsid w:val="00585289"/>
    <w:rsid w:val="00585D96"/>
    <w:rsid w:val="005960FB"/>
    <w:rsid w:val="005975F9"/>
    <w:rsid w:val="005A21AD"/>
    <w:rsid w:val="005A4677"/>
    <w:rsid w:val="005A5E80"/>
    <w:rsid w:val="005A7F23"/>
    <w:rsid w:val="005B013A"/>
    <w:rsid w:val="005B08FE"/>
    <w:rsid w:val="005B4107"/>
    <w:rsid w:val="005B6AE2"/>
    <w:rsid w:val="005C1260"/>
    <w:rsid w:val="005C2E90"/>
    <w:rsid w:val="005C43CA"/>
    <w:rsid w:val="005C4DC8"/>
    <w:rsid w:val="005C6602"/>
    <w:rsid w:val="005D1987"/>
    <w:rsid w:val="005D29EA"/>
    <w:rsid w:val="005D40CE"/>
    <w:rsid w:val="005D4FD7"/>
    <w:rsid w:val="005D6500"/>
    <w:rsid w:val="005D6BFA"/>
    <w:rsid w:val="005E0EE7"/>
    <w:rsid w:val="005E167C"/>
    <w:rsid w:val="005F5F01"/>
    <w:rsid w:val="005F628D"/>
    <w:rsid w:val="006006C9"/>
    <w:rsid w:val="00600ED3"/>
    <w:rsid w:val="00602EE7"/>
    <w:rsid w:val="006035D0"/>
    <w:rsid w:val="00603DD8"/>
    <w:rsid w:val="00606A92"/>
    <w:rsid w:val="00607BC5"/>
    <w:rsid w:val="00610EE6"/>
    <w:rsid w:val="006114D2"/>
    <w:rsid w:val="0061167A"/>
    <w:rsid w:val="00611D6A"/>
    <w:rsid w:val="006141C2"/>
    <w:rsid w:val="00614845"/>
    <w:rsid w:val="006162AC"/>
    <w:rsid w:val="006169E7"/>
    <w:rsid w:val="006201C9"/>
    <w:rsid w:val="00620A18"/>
    <w:rsid w:val="006211CF"/>
    <w:rsid w:val="00621FD9"/>
    <w:rsid w:val="00622599"/>
    <w:rsid w:val="00627EC6"/>
    <w:rsid w:val="006301B0"/>
    <w:rsid w:val="006308B1"/>
    <w:rsid w:val="006312C5"/>
    <w:rsid w:val="006315BF"/>
    <w:rsid w:val="00631973"/>
    <w:rsid w:val="00631BDF"/>
    <w:rsid w:val="00634F3B"/>
    <w:rsid w:val="00635170"/>
    <w:rsid w:val="00636CD1"/>
    <w:rsid w:val="00636FB0"/>
    <w:rsid w:val="00640D82"/>
    <w:rsid w:val="00640DED"/>
    <w:rsid w:val="0064119A"/>
    <w:rsid w:val="00643AED"/>
    <w:rsid w:val="006447FF"/>
    <w:rsid w:val="00650927"/>
    <w:rsid w:val="00653573"/>
    <w:rsid w:val="006549DA"/>
    <w:rsid w:val="00654E06"/>
    <w:rsid w:val="00655047"/>
    <w:rsid w:val="00655415"/>
    <w:rsid w:val="00656A07"/>
    <w:rsid w:val="00657183"/>
    <w:rsid w:val="00661276"/>
    <w:rsid w:val="00665C7E"/>
    <w:rsid w:val="006720BE"/>
    <w:rsid w:val="0067646F"/>
    <w:rsid w:val="00682108"/>
    <w:rsid w:val="006834FD"/>
    <w:rsid w:val="0068490E"/>
    <w:rsid w:val="006872A2"/>
    <w:rsid w:val="00691E61"/>
    <w:rsid w:val="00693548"/>
    <w:rsid w:val="00696103"/>
    <w:rsid w:val="006961B5"/>
    <w:rsid w:val="0069760C"/>
    <w:rsid w:val="00697B41"/>
    <w:rsid w:val="006A6342"/>
    <w:rsid w:val="006A6FA6"/>
    <w:rsid w:val="006B236E"/>
    <w:rsid w:val="006B4766"/>
    <w:rsid w:val="006B5247"/>
    <w:rsid w:val="006B55F4"/>
    <w:rsid w:val="006B5CE3"/>
    <w:rsid w:val="006B6E5D"/>
    <w:rsid w:val="006B7D60"/>
    <w:rsid w:val="006C089E"/>
    <w:rsid w:val="006C4152"/>
    <w:rsid w:val="006D012C"/>
    <w:rsid w:val="006D3404"/>
    <w:rsid w:val="006D5EE1"/>
    <w:rsid w:val="006D6C60"/>
    <w:rsid w:val="006E0327"/>
    <w:rsid w:val="006E2958"/>
    <w:rsid w:val="006E2DC4"/>
    <w:rsid w:val="006E4241"/>
    <w:rsid w:val="006E47B1"/>
    <w:rsid w:val="006F0715"/>
    <w:rsid w:val="006F588A"/>
    <w:rsid w:val="006F6E26"/>
    <w:rsid w:val="00701073"/>
    <w:rsid w:val="00706F0D"/>
    <w:rsid w:val="0071160F"/>
    <w:rsid w:val="007157BB"/>
    <w:rsid w:val="00715B4C"/>
    <w:rsid w:val="00716AA7"/>
    <w:rsid w:val="007177FB"/>
    <w:rsid w:val="00717BDA"/>
    <w:rsid w:val="007211AB"/>
    <w:rsid w:val="007233EE"/>
    <w:rsid w:val="00723F78"/>
    <w:rsid w:val="00726310"/>
    <w:rsid w:val="00731D2D"/>
    <w:rsid w:val="00736A93"/>
    <w:rsid w:val="007377D9"/>
    <w:rsid w:val="0074046E"/>
    <w:rsid w:val="00741322"/>
    <w:rsid w:val="007455D0"/>
    <w:rsid w:val="00751D96"/>
    <w:rsid w:val="00752DBE"/>
    <w:rsid w:val="00754ED6"/>
    <w:rsid w:val="0075512A"/>
    <w:rsid w:val="007575B3"/>
    <w:rsid w:val="007578BE"/>
    <w:rsid w:val="0075792C"/>
    <w:rsid w:val="00762AC8"/>
    <w:rsid w:val="00763B88"/>
    <w:rsid w:val="007647FC"/>
    <w:rsid w:val="00765B0F"/>
    <w:rsid w:val="0077122E"/>
    <w:rsid w:val="00773FF3"/>
    <w:rsid w:val="00774B15"/>
    <w:rsid w:val="00775F42"/>
    <w:rsid w:val="0077608A"/>
    <w:rsid w:val="0077643F"/>
    <w:rsid w:val="00781359"/>
    <w:rsid w:val="00781B24"/>
    <w:rsid w:val="00793FE5"/>
    <w:rsid w:val="007A421D"/>
    <w:rsid w:val="007A5BDB"/>
    <w:rsid w:val="007A5DE2"/>
    <w:rsid w:val="007B6431"/>
    <w:rsid w:val="007C4773"/>
    <w:rsid w:val="007C5D37"/>
    <w:rsid w:val="007D0EB3"/>
    <w:rsid w:val="007D1019"/>
    <w:rsid w:val="007D11B4"/>
    <w:rsid w:val="007D1548"/>
    <w:rsid w:val="007D1816"/>
    <w:rsid w:val="007D5405"/>
    <w:rsid w:val="007D76E5"/>
    <w:rsid w:val="007E27DF"/>
    <w:rsid w:val="007E3065"/>
    <w:rsid w:val="007E50AA"/>
    <w:rsid w:val="007E6FD4"/>
    <w:rsid w:val="007E7D5E"/>
    <w:rsid w:val="007F0689"/>
    <w:rsid w:val="007F0C34"/>
    <w:rsid w:val="007F3620"/>
    <w:rsid w:val="00802AC1"/>
    <w:rsid w:val="00803B89"/>
    <w:rsid w:val="00805512"/>
    <w:rsid w:val="00811251"/>
    <w:rsid w:val="0081500D"/>
    <w:rsid w:val="0081680C"/>
    <w:rsid w:val="008169E7"/>
    <w:rsid w:val="00820641"/>
    <w:rsid w:val="00821CBD"/>
    <w:rsid w:val="008224E2"/>
    <w:rsid w:val="008320E3"/>
    <w:rsid w:val="00834CFF"/>
    <w:rsid w:val="00835B34"/>
    <w:rsid w:val="00840297"/>
    <w:rsid w:val="008411E5"/>
    <w:rsid w:val="008416A7"/>
    <w:rsid w:val="00841ADF"/>
    <w:rsid w:val="0084609F"/>
    <w:rsid w:val="00851BCC"/>
    <w:rsid w:val="0085457E"/>
    <w:rsid w:val="0086000E"/>
    <w:rsid w:val="0086214D"/>
    <w:rsid w:val="00862301"/>
    <w:rsid w:val="0086269C"/>
    <w:rsid w:val="00864445"/>
    <w:rsid w:val="008673EA"/>
    <w:rsid w:val="00867748"/>
    <w:rsid w:val="00871FEE"/>
    <w:rsid w:val="008871A9"/>
    <w:rsid w:val="008946F9"/>
    <w:rsid w:val="00897B02"/>
    <w:rsid w:val="008A21DB"/>
    <w:rsid w:val="008A280E"/>
    <w:rsid w:val="008A2850"/>
    <w:rsid w:val="008A2F18"/>
    <w:rsid w:val="008A4134"/>
    <w:rsid w:val="008A5833"/>
    <w:rsid w:val="008A7D94"/>
    <w:rsid w:val="008B194F"/>
    <w:rsid w:val="008B47D1"/>
    <w:rsid w:val="008B593E"/>
    <w:rsid w:val="008B617F"/>
    <w:rsid w:val="008C4DE7"/>
    <w:rsid w:val="008C66CA"/>
    <w:rsid w:val="008D2103"/>
    <w:rsid w:val="008D28CE"/>
    <w:rsid w:val="008D4073"/>
    <w:rsid w:val="008D7CAB"/>
    <w:rsid w:val="008E0CAA"/>
    <w:rsid w:val="008E1D86"/>
    <w:rsid w:val="008E1F40"/>
    <w:rsid w:val="008E2086"/>
    <w:rsid w:val="008E3092"/>
    <w:rsid w:val="008F1A04"/>
    <w:rsid w:val="008F52B6"/>
    <w:rsid w:val="008F571C"/>
    <w:rsid w:val="008F6333"/>
    <w:rsid w:val="008F7740"/>
    <w:rsid w:val="00901ED3"/>
    <w:rsid w:val="00902687"/>
    <w:rsid w:val="00904656"/>
    <w:rsid w:val="00905F84"/>
    <w:rsid w:val="009066CC"/>
    <w:rsid w:val="0090755A"/>
    <w:rsid w:val="00910C6B"/>
    <w:rsid w:val="00910DC9"/>
    <w:rsid w:val="00914224"/>
    <w:rsid w:val="00914A29"/>
    <w:rsid w:val="00914B7B"/>
    <w:rsid w:val="00923CF5"/>
    <w:rsid w:val="009243C5"/>
    <w:rsid w:val="009246E2"/>
    <w:rsid w:val="00930349"/>
    <w:rsid w:val="0093120A"/>
    <w:rsid w:val="009334FE"/>
    <w:rsid w:val="00933EC3"/>
    <w:rsid w:val="00934F21"/>
    <w:rsid w:val="00937F82"/>
    <w:rsid w:val="00943F7C"/>
    <w:rsid w:val="00947782"/>
    <w:rsid w:val="0095208B"/>
    <w:rsid w:val="00953C1F"/>
    <w:rsid w:val="009549DB"/>
    <w:rsid w:val="00955775"/>
    <w:rsid w:val="00956A21"/>
    <w:rsid w:val="00957428"/>
    <w:rsid w:val="00957C5B"/>
    <w:rsid w:val="00960DAF"/>
    <w:rsid w:val="009611DE"/>
    <w:rsid w:val="009644C2"/>
    <w:rsid w:val="00967B2E"/>
    <w:rsid w:val="00967D55"/>
    <w:rsid w:val="00970226"/>
    <w:rsid w:val="00972AC9"/>
    <w:rsid w:val="00972E29"/>
    <w:rsid w:val="0097592E"/>
    <w:rsid w:val="00975FF8"/>
    <w:rsid w:val="0097781B"/>
    <w:rsid w:val="00977C22"/>
    <w:rsid w:val="00984C64"/>
    <w:rsid w:val="00985299"/>
    <w:rsid w:val="009871AC"/>
    <w:rsid w:val="00987D5C"/>
    <w:rsid w:val="00991881"/>
    <w:rsid w:val="00995D65"/>
    <w:rsid w:val="009961A6"/>
    <w:rsid w:val="009970A5"/>
    <w:rsid w:val="009A0114"/>
    <w:rsid w:val="009A3DFC"/>
    <w:rsid w:val="009A4F0A"/>
    <w:rsid w:val="009A60EA"/>
    <w:rsid w:val="009B0861"/>
    <w:rsid w:val="009B2E4E"/>
    <w:rsid w:val="009B5B5A"/>
    <w:rsid w:val="009B755D"/>
    <w:rsid w:val="009C2626"/>
    <w:rsid w:val="009C2CCF"/>
    <w:rsid w:val="009C368E"/>
    <w:rsid w:val="009C382F"/>
    <w:rsid w:val="009D5E28"/>
    <w:rsid w:val="009D76B8"/>
    <w:rsid w:val="009E0856"/>
    <w:rsid w:val="009E4335"/>
    <w:rsid w:val="009E54D1"/>
    <w:rsid w:val="009E5B56"/>
    <w:rsid w:val="009E752E"/>
    <w:rsid w:val="009F07F5"/>
    <w:rsid w:val="00A00B00"/>
    <w:rsid w:val="00A06588"/>
    <w:rsid w:val="00A07BFB"/>
    <w:rsid w:val="00A07D38"/>
    <w:rsid w:val="00A12857"/>
    <w:rsid w:val="00A13711"/>
    <w:rsid w:val="00A14695"/>
    <w:rsid w:val="00A14797"/>
    <w:rsid w:val="00A151CB"/>
    <w:rsid w:val="00A17167"/>
    <w:rsid w:val="00A17815"/>
    <w:rsid w:val="00A22959"/>
    <w:rsid w:val="00A23205"/>
    <w:rsid w:val="00A2464C"/>
    <w:rsid w:val="00A3338E"/>
    <w:rsid w:val="00A33B29"/>
    <w:rsid w:val="00A34336"/>
    <w:rsid w:val="00A34B8B"/>
    <w:rsid w:val="00A400C6"/>
    <w:rsid w:val="00A41626"/>
    <w:rsid w:val="00A4166C"/>
    <w:rsid w:val="00A44372"/>
    <w:rsid w:val="00A46A76"/>
    <w:rsid w:val="00A46AC3"/>
    <w:rsid w:val="00A46DB2"/>
    <w:rsid w:val="00A46EDF"/>
    <w:rsid w:val="00A506B3"/>
    <w:rsid w:val="00A525D9"/>
    <w:rsid w:val="00A54F2D"/>
    <w:rsid w:val="00A60666"/>
    <w:rsid w:val="00A64D34"/>
    <w:rsid w:val="00A74B62"/>
    <w:rsid w:val="00A77690"/>
    <w:rsid w:val="00A82C0E"/>
    <w:rsid w:val="00A82DEF"/>
    <w:rsid w:val="00A835FF"/>
    <w:rsid w:val="00A8425F"/>
    <w:rsid w:val="00A91E95"/>
    <w:rsid w:val="00A93275"/>
    <w:rsid w:val="00A94CAA"/>
    <w:rsid w:val="00A970DE"/>
    <w:rsid w:val="00A975B1"/>
    <w:rsid w:val="00AA06A9"/>
    <w:rsid w:val="00AA17CC"/>
    <w:rsid w:val="00AA24AF"/>
    <w:rsid w:val="00AA635F"/>
    <w:rsid w:val="00AB16D8"/>
    <w:rsid w:val="00AB281B"/>
    <w:rsid w:val="00AB33C9"/>
    <w:rsid w:val="00AB42FA"/>
    <w:rsid w:val="00AB601E"/>
    <w:rsid w:val="00AB72E8"/>
    <w:rsid w:val="00AC002A"/>
    <w:rsid w:val="00AC064D"/>
    <w:rsid w:val="00AC3605"/>
    <w:rsid w:val="00AC3B27"/>
    <w:rsid w:val="00AC4653"/>
    <w:rsid w:val="00AC4FB5"/>
    <w:rsid w:val="00AC65FD"/>
    <w:rsid w:val="00AD0180"/>
    <w:rsid w:val="00AD09FA"/>
    <w:rsid w:val="00AD12F7"/>
    <w:rsid w:val="00AD1FBD"/>
    <w:rsid w:val="00AD3831"/>
    <w:rsid w:val="00AE100C"/>
    <w:rsid w:val="00AE37D6"/>
    <w:rsid w:val="00AE3C5E"/>
    <w:rsid w:val="00AE5232"/>
    <w:rsid w:val="00AF30FB"/>
    <w:rsid w:val="00AF3867"/>
    <w:rsid w:val="00AF60ED"/>
    <w:rsid w:val="00B026C7"/>
    <w:rsid w:val="00B02CBB"/>
    <w:rsid w:val="00B05553"/>
    <w:rsid w:val="00B064EB"/>
    <w:rsid w:val="00B06B23"/>
    <w:rsid w:val="00B15F6A"/>
    <w:rsid w:val="00B175BD"/>
    <w:rsid w:val="00B2457D"/>
    <w:rsid w:val="00B263F8"/>
    <w:rsid w:val="00B26775"/>
    <w:rsid w:val="00B27223"/>
    <w:rsid w:val="00B2757B"/>
    <w:rsid w:val="00B30E35"/>
    <w:rsid w:val="00B322F9"/>
    <w:rsid w:val="00B33050"/>
    <w:rsid w:val="00B36216"/>
    <w:rsid w:val="00B37E3D"/>
    <w:rsid w:val="00B40AC1"/>
    <w:rsid w:val="00B40DF1"/>
    <w:rsid w:val="00B42B72"/>
    <w:rsid w:val="00B431E3"/>
    <w:rsid w:val="00B438DF"/>
    <w:rsid w:val="00B46C69"/>
    <w:rsid w:val="00B52E13"/>
    <w:rsid w:val="00B539E6"/>
    <w:rsid w:val="00B543A0"/>
    <w:rsid w:val="00B60C64"/>
    <w:rsid w:val="00B61260"/>
    <w:rsid w:val="00B650CA"/>
    <w:rsid w:val="00B65340"/>
    <w:rsid w:val="00B65B5D"/>
    <w:rsid w:val="00B7088E"/>
    <w:rsid w:val="00B7350D"/>
    <w:rsid w:val="00B754E5"/>
    <w:rsid w:val="00B77A57"/>
    <w:rsid w:val="00B8015A"/>
    <w:rsid w:val="00B808F2"/>
    <w:rsid w:val="00B83243"/>
    <w:rsid w:val="00B86F94"/>
    <w:rsid w:val="00B92310"/>
    <w:rsid w:val="00B94F2C"/>
    <w:rsid w:val="00BA098C"/>
    <w:rsid w:val="00BA37CC"/>
    <w:rsid w:val="00BA4DD9"/>
    <w:rsid w:val="00BA52D3"/>
    <w:rsid w:val="00BA5809"/>
    <w:rsid w:val="00BA6B61"/>
    <w:rsid w:val="00BB1A27"/>
    <w:rsid w:val="00BC01BD"/>
    <w:rsid w:val="00BC0CCE"/>
    <w:rsid w:val="00BC18B0"/>
    <w:rsid w:val="00BC4907"/>
    <w:rsid w:val="00BC6A74"/>
    <w:rsid w:val="00BD364C"/>
    <w:rsid w:val="00BD453A"/>
    <w:rsid w:val="00BD5D4A"/>
    <w:rsid w:val="00BD73DC"/>
    <w:rsid w:val="00BE123A"/>
    <w:rsid w:val="00BE29E2"/>
    <w:rsid w:val="00BE2F25"/>
    <w:rsid w:val="00BE72D5"/>
    <w:rsid w:val="00BF0F69"/>
    <w:rsid w:val="00BF2BF3"/>
    <w:rsid w:val="00BF5090"/>
    <w:rsid w:val="00BF639F"/>
    <w:rsid w:val="00C000A5"/>
    <w:rsid w:val="00C020BD"/>
    <w:rsid w:val="00C022EE"/>
    <w:rsid w:val="00C07F11"/>
    <w:rsid w:val="00C10DDE"/>
    <w:rsid w:val="00C219A5"/>
    <w:rsid w:val="00C223F4"/>
    <w:rsid w:val="00C239D0"/>
    <w:rsid w:val="00C3094E"/>
    <w:rsid w:val="00C31809"/>
    <w:rsid w:val="00C31CFA"/>
    <w:rsid w:val="00C36893"/>
    <w:rsid w:val="00C41B07"/>
    <w:rsid w:val="00C43305"/>
    <w:rsid w:val="00C43B36"/>
    <w:rsid w:val="00C47087"/>
    <w:rsid w:val="00C510B7"/>
    <w:rsid w:val="00C55D14"/>
    <w:rsid w:val="00C64F01"/>
    <w:rsid w:val="00C66A65"/>
    <w:rsid w:val="00C66C58"/>
    <w:rsid w:val="00C8067B"/>
    <w:rsid w:val="00C83BD2"/>
    <w:rsid w:val="00C91F3A"/>
    <w:rsid w:val="00CA3873"/>
    <w:rsid w:val="00CA4038"/>
    <w:rsid w:val="00CB0E20"/>
    <w:rsid w:val="00CB1B9A"/>
    <w:rsid w:val="00CB2F8A"/>
    <w:rsid w:val="00CC3D64"/>
    <w:rsid w:val="00CC562F"/>
    <w:rsid w:val="00CC714C"/>
    <w:rsid w:val="00CD25FE"/>
    <w:rsid w:val="00CD6E54"/>
    <w:rsid w:val="00CE6961"/>
    <w:rsid w:val="00CE6D22"/>
    <w:rsid w:val="00CF3D87"/>
    <w:rsid w:val="00CF47E7"/>
    <w:rsid w:val="00CF4ACE"/>
    <w:rsid w:val="00D02560"/>
    <w:rsid w:val="00D061E3"/>
    <w:rsid w:val="00D06BB0"/>
    <w:rsid w:val="00D079D1"/>
    <w:rsid w:val="00D1146A"/>
    <w:rsid w:val="00D1647B"/>
    <w:rsid w:val="00D2609C"/>
    <w:rsid w:val="00D26CD4"/>
    <w:rsid w:val="00D413E4"/>
    <w:rsid w:val="00D442E5"/>
    <w:rsid w:val="00D45E66"/>
    <w:rsid w:val="00D47470"/>
    <w:rsid w:val="00D525E8"/>
    <w:rsid w:val="00D52E00"/>
    <w:rsid w:val="00D52EB9"/>
    <w:rsid w:val="00D53C03"/>
    <w:rsid w:val="00D572B9"/>
    <w:rsid w:val="00D5738E"/>
    <w:rsid w:val="00D646C0"/>
    <w:rsid w:val="00D655D4"/>
    <w:rsid w:val="00D6781B"/>
    <w:rsid w:val="00D73F9E"/>
    <w:rsid w:val="00D747B5"/>
    <w:rsid w:val="00D758A0"/>
    <w:rsid w:val="00D75A6D"/>
    <w:rsid w:val="00D82F69"/>
    <w:rsid w:val="00D90904"/>
    <w:rsid w:val="00D93C71"/>
    <w:rsid w:val="00DA0988"/>
    <w:rsid w:val="00DA318A"/>
    <w:rsid w:val="00DA4013"/>
    <w:rsid w:val="00DA46BE"/>
    <w:rsid w:val="00DA6F26"/>
    <w:rsid w:val="00DA7656"/>
    <w:rsid w:val="00DB0879"/>
    <w:rsid w:val="00DB0EC6"/>
    <w:rsid w:val="00DB2CB5"/>
    <w:rsid w:val="00DB3AE6"/>
    <w:rsid w:val="00DB5140"/>
    <w:rsid w:val="00DC191E"/>
    <w:rsid w:val="00DC3551"/>
    <w:rsid w:val="00DC3B05"/>
    <w:rsid w:val="00DC4D0D"/>
    <w:rsid w:val="00DC63B6"/>
    <w:rsid w:val="00DD115E"/>
    <w:rsid w:val="00DD4C22"/>
    <w:rsid w:val="00DE4F9D"/>
    <w:rsid w:val="00DF10B0"/>
    <w:rsid w:val="00DF2662"/>
    <w:rsid w:val="00DF3EC1"/>
    <w:rsid w:val="00DF53C4"/>
    <w:rsid w:val="00DF6275"/>
    <w:rsid w:val="00DF69EE"/>
    <w:rsid w:val="00DF727C"/>
    <w:rsid w:val="00E014FD"/>
    <w:rsid w:val="00E01D89"/>
    <w:rsid w:val="00E028EE"/>
    <w:rsid w:val="00E15CA4"/>
    <w:rsid w:val="00E172C3"/>
    <w:rsid w:val="00E17975"/>
    <w:rsid w:val="00E22F4F"/>
    <w:rsid w:val="00E2318F"/>
    <w:rsid w:val="00E23942"/>
    <w:rsid w:val="00E307A7"/>
    <w:rsid w:val="00E30AAA"/>
    <w:rsid w:val="00E31887"/>
    <w:rsid w:val="00E35D6B"/>
    <w:rsid w:val="00E37613"/>
    <w:rsid w:val="00E37AB9"/>
    <w:rsid w:val="00E41E5D"/>
    <w:rsid w:val="00E420AB"/>
    <w:rsid w:val="00E47796"/>
    <w:rsid w:val="00E5162F"/>
    <w:rsid w:val="00E57F7A"/>
    <w:rsid w:val="00E608BB"/>
    <w:rsid w:val="00E62024"/>
    <w:rsid w:val="00E6462D"/>
    <w:rsid w:val="00E6573A"/>
    <w:rsid w:val="00E72694"/>
    <w:rsid w:val="00E753A9"/>
    <w:rsid w:val="00E75EAA"/>
    <w:rsid w:val="00E76C82"/>
    <w:rsid w:val="00E76F50"/>
    <w:rsid w:val="00E7742F"/>
    <w:rsid w:val="00E805F8"/>
    <w:rsid w:val="00E835D4"/>
    <w:rsid w:val="00E83AA0"/>
    <w:rsid w:val="00E85D20"/>
    <w:rsid w:val="00E878DF"/>
    <w:rsid w:val="00E90489"/>
    <w:rsid w:val="00E91BD7"/>
    <w:rsid w:val="00E93D85"/>
    <w:rsid w:val="00E954F4"/>
    <w:rsid w:val="00E95F85"/>
    <w:rsid w:val="00E97022"/>
    <w:rsid w:val="00E97CAC"/>
    <w:rsid w:val="00EA0093"/>
    <w:rsid w:val="00EA0834"/>
    <w:rsid w:val="00EA595B"/>
    <w:rsid w:val="00EA5C86"/>
    <w:rsid w:val="00EA643D"/>
    <w:rsid w:val="00EA6F1E"/>
    <w:rsid w:val="00EA732D"/>
    <w:rsid w:val="00EB3765"/>
    <w:rsid w:val="00EB4D79"/>
    <w:rsid w:val="00EB7A83"/>
    <w:rsid w:val="00EC0C30"/>
    <w:rsid w:val="00EC201A"/>
    <w:rsid w:val="00EC23E5"/>
    <w:rsid w:val="00EC2AEB"/>
    <w:rsid w:val="00ED2E17"/>
    <w:rsid w:val="00ED5086"/>
    <w:rsid w:val="00ED6A1F"/>
    <w:rsid w:val="00EE183C"/>
    <w:rsid w:val="00EE3274"/>
    <w:rsid w:val="00EE6807"/>
    <w:rsid w:val="00EF71A7"/>
    <w:rsid w:val="00F00A48"/>
    <w:rsid w:val="00F02C3C"/>
    <w:rsid w:val="00F05720"/>
    <w:rsid w:val="00F07331"/>
    <w:rsid w:val="00F079DF"/>
    <w:rsid w:val="00F114AC"/>
    <w:rsid w:val="00F1339A"/>
    <w:rsid w:val="00F13F55"/>
    <w:rsid w:val="00F22A1B"/>
    <w:rsid w:val="00F237C7"/>
    <w:rsid w:val="00F27172"/>
    <w:rsid w:val="00F27C90"/>
    <w:rsid w:val="00F35683"/>
    <w:rsid w:val="00F3599E"/>
    <w:rsid w:val="00F40AEB"/>
    <w:rsid w:val="00F464F6"/>
    <w:rsid w:val="00F46960"/>
    <w:rsid w:val="00F46FAC"/>
    <w:rsid w:val="00F50E10"/>
    <w:rsid w:val="00F53187"/>
    <w:rsid w:val="00F53A22"/>
    <w:rsid w:val="00F54066"/>
    <w:rsid w:val="00F56E92"/>
    <w:rsid w:val="00F60F10"/>
    <w:rsid w:val="00F61E2B"/>
    <w:rsid w:val="00F65B00"/>
    <w:rsid w:val="00F67F6E"/>
    <w:rsid w:val="00F705D8"/>
    <w:rsid w:val="00F7074F"/>
    <w:rsid w:val="00F71AB7"/>
    <w:rsid w:val="00F72581"/>
    <w:rsid w:val="00F80210"/>
    <w:rsid w:val="00F809CE"/>
    <w:rsid w:val="00F811FB"/>
    <w:rsid w:val="00F81225"/>
    <w:rsid w:val="00F81385"/>
    <w:rsid w:val="00F855AC"/>
    <w:rsid w:val="00F868AA"/>
    <w:rsid w:val="00F86F10"/>
    <w:rsid w:val="00F8D7A9"/>
    <w:rsid w:val="00F90668"/>
    <w:rsid w:val="00F935E7"/>
    <w:rsid w:val="00F941C1"/>
    <w:rsid w:val="00F943EB"/>
    <w:rsid w:val="00F96E98"/>
    <w:rsid w:val="00F97B5F"/>
    <w:rsid w:val="00FA3A95"/>
    <w:rsid w:val="00FA4E9E"/>
    <w:rsid w:val="00FA62BB"/>
    <w:rsid w:val="00FB11C3"/>
    <w:rsid w:val="00FB383A"/>
    <w:rsid w:val="00FB6DF9"/>
    <w:rsid w:val="00FC0618"/>
    <w:rsid w:val="00FC467D"/>
    <w:rsid w:val="00FD014E"/>
    <w:rsid w:val="00FD07DE"/>
    <w:rsid w:val="00FD100F"/>
    <w:rsid w:val="00FD1B43"/>
    <w:rsid w:val="00FD63E3"/>
    <w:rsid w:val="00FD642D"/>
    <w:rsid w:val="00FE0C3C"/>
    <w:rsid w:val="00FE0D91"/>
    <w:rsid w:val="00FE59F0"/>
    <w:rsid w:val="00FF1739"/>
    <w:rsid w:val="00FF1D54"/>
    <w:rsid w:val="00FF4EB2"/>
    <w:rsid w:val="0238B3CD"/>
    <w:rsid w:val="0D356BB2"/>
    <w:rsid w:val="130CDE80"/>
    <w:rsid w:val="29B1CCD3"/>
    <w:rsid w:val="3C4B731E"/>
    <w:rsid w:val="45D5517D"/>
    <w:rsid w:val="53AB7302"/>
    <w:rsid w:val="5B19BE03"/>
    <w:rsid w:val="5DB170B3"/>
    <w:rsid w:val="60332518"/>
    <w:rsid w:val="6790C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94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6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4C"/>
  </w:style>
  <w:style w:type="paragraph" w:styleId="Stopka">
    <w:name w:val="footer"/>
    <w:basedOn w:val="Normalny"/>
    <w:link w:val="Stopka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4C"/>
  </w:style>
  <w:style w:type="paragraph" w:styleId="Akapitzlist">
    <w:name w:val="List Paragraph"/>
    <w:basedOn w:val="Normalny"/>
    <w:uiPriority w:val="34"/>
    <w:qFormat/>
    <w:rsid w:val="00A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18F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8F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ny"/>
    <w:rsid w:val="00BD5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rsid w:val="00BD5D4A"/>
  </w:style>
  <w:style w:type="character" w:customStyle="1" w:styleId="eop">
    <w:name w:val="eop"/>
    <w:rsid w:val="00BD5D4A"/>
  </w:style>
  <w:style w:type="character" w:customStyle="1" w:styleId="spellingerror">
    <w:name w:val="spellingerror"/>
    <w:rsid w:val="00BD5D4A"/>
  </w:style>
  <w:style w:type="character" w:styleId="Hipercze">
    <w:name w:val="Hyperlink"/>
    <w:basedOn w:val="Domylnaczcionkaakapitu"/>
    <w:uiPriority w:val="99"/>
    <w:unhideWhenUsed/>
    <w:rsid w:val="00036A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6AD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A06A9"/>
  </w:style>
  <w:style w:type="paragraph" w:customStyle="1" w:styleId="text">
    <w:name w:val="text"/>
    <w:basedOn w:val="Normalny"/>
    <w:rsid w:val="00F60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Tekstpodstawowy"/>
    <w:link w:val="BulletChar"/>
    <w:uiPriority w:val="3"/>
    <w:qFormat/>
    <w:rsid w:val="00060321"/>
    <w:pPr>
      <w:numPr>
        <w:numId w:val="1"/>
      </w:numPr>
      <w:spacing w:after="227" w:line="240" w:lineRule="exact"/>
    </w:pPr>
    <w:rPr>
      <w:rFonts w:ascii="Arial" w:hAnsi="Arial"/>
      <w:color w:val="4472C4" w:themeColor="accent1"/>
      <w:sz w:val="18"/>
      <w:szCs w:val="20"/>
      <w:lang w:val="en-US"/>
    </w:rPr>
  </w:style>
  <w:style w:type="character" w:customStyle="1" w:styleId="BulletChar">
    <w:name w:val="Bullet Char"/>
    <w:basedOn w:val="TekstpodstawowyZnak"/>
    <w:link w:val="Bullet"/>
    <w:uiPriority w:val="3"/>
    <w:rsid w:val="00060321"/>
    <w:rPr>
      <w:rFonts w:ascii="Arial" w:hAnsi="Arial" w:cs="Calibri"/>
      <w:color w:val="4472C4" w:themeColor="accent1"/>
      <w:sz w:val="18"/>
      <w:szCs w:val="20"/>
      <w:lang w:val="en-US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321"/>
    <w:rPr>
      <w:rFonts w:ascii="Calibri" w:hAnsi="Calibri" w:cs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2B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62B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F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728D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511491"/>
    <w:pPr>
      <w:spacing w:before="100" w:beforeAutospacing="1" w:after="100" w:afterAutospacing="1"/>
    </w:pPr>
  </w:style>
  <w:style w:type="paragraph" w:customStyle="1" w:styleId="Default">
    <w:name w:val="Default"/>
    <w:rsid w:val="00323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xw241787760">
    <w:name w:val="scxw241787760"/>
    <w:basedOn w:val="Domylnaczcionkaakapitu"/>
    <w:rsid w:val="00B754E5"/>
  </w:style>
  <w:style w:type="paragraph" w:customStyle="1" w:styleId="xxmsonormal">
    <w:name w:val="x_xmsonormal"/>
    <w:basedOn w:val="Normalny"/>
    <w:rsid w:val="00583F83"/>
  </w:style>
  <w:style w:type="paragraph" w:styleId="Poprawka">
    <w:name w:val="Revision"/>
    <w:hidden/>
    <w:uiPriority w:val="99"/>
    <w:semiHidden/>
    <w:rsid w:val="008946F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villsim@citigatedewerogers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5FBA4452DF845AC91073AE7840249" ma:contentTypeVersion="10" ma:contentTypeDescription="Create a new document." ma:contentTypeScope="" ma:versionID="1456fc53e544811e0544b9eec612b7a0">
  <xsd:schema xmlns:xsd="http://www.w3.org/2001/XMLSchema" xmlns:xs="http://www.w3.org/2001/XMLSchema" xmlns:p="http://schemas.microsoft.com/office/2006/metadata/properties" xmlns:ns2="663a15f5-8bc2-4c1b-9b7f-905e51ccab60" targetNamespace="http://schemas.microsoft.com/office/2006/metadata/properties" ma:root="true" ma:fieldsID="3b823555901c45d95c9153098f959bae" ns2:_="">
    <xsd:import namespace="663a15f5-8bc2-4c1b-9b7f-905e51cca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15f5-8bc2-4c1b-9b7f-905e51cca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E2C7-A34C-4E22-A5A6-AD7D6BE8B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a15f5-8bc2-4c1b-9b7f-905e51cca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4EFC9-35EE-4859-9C69-C885A2B06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48B1-B157-4406-B378-EB9D20670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1A4835-4953-4967-8E4A-BD94AC47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2021-11-23T10:47:00Z</dcterms:created>
  <dcterms:modified xsi:type="dcterms:W3CDTF">2021-11-25T06:45:00Z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0x01010039C5FBA4452DF845AC91073AE7840249</vt:lpwstr>
  </property>
</Properties>
</file>